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AE14" w14:textId="2538EBD1" w:rsidR="00F934F4" w:rsidRDefault="000A2479">
      <w:pPr>
        <w:pStyle w:val="EPCATitle"/>
      </w:pPr>
      <w:r>
        <w:rPr>
          <w:rStyle w:val="Aucune"/>
          <w:noProof/>
          <w:color w:val="000000"/>
          <w:u w:color="000000"/>
        </w:rPr>
        <mc:AlternateContent>
          <mc:Choice Requires="wps">
            <w:drawing>
              <wp:anchor distT="0" distB="0" distL="0" distR="0" simplePos="0" relativeHeight="251657216" behindDoc="1" locked="0" layoutInCell="1" allowOverlap="1" wp14:anchorId="1E5000AF" wp14:editId="67A81A46">
                <wp:simplePos x="0" y="0"/>
                <wp:positionH relativeFrom="page">
                  <wp:posOffset>4795735</wp:posOffset>
                </wp:positionH>
                <wp:positionV relativeFrom="page">
                  <wp:posOffset>554477</wp:posOffset>
                </wp:positionV>
                <wp:extent cx="2272003" cy="628015"/>
                <wp:effectExtent l="0" t="0" r="0" b="635"/>
                <wp:wrapNone/>
                <wp:docPr id="1073741826" name="officeArt object" descr="Text Box 10"/>
                <wp:cNvGraphicFramePr/>
                <a:graphic xmlns:a="http://schemas.openxmlformats.org/drawingml/2006/main">
                  <a:graphicData uri="http://schemas.microsoft.com/office/word/2010/wordprocessingShape">
                    <wps:wsp>
                      <wps:cNvSpPr txBox="1"/>
                      <wps:spPr>
                        <a:xfrm>
                          <a:off x="0" y="0"/>
                          <a:ext cx="2272003" cy="628015"/>
                        </a:xfrm>
                        <a:prstGeom prst="rect">
                          <a:avLst/>
                        </a:prstGeom>
                        <a:solidFill>
                          <a:srgbClr val="008A3E"/>
                        </a:solidFill>
                        <a:ln w="12700" cap="flat">
                          <a:noFill/>
                          <a:miter lim="400000"/>
                        </a:ln>
                        <a:effectLst/>
                      </wps:spPr>
                      <wps:txbx>
                        <w:txbxContent>
                          <w:p w14:paraId="4F3BE8D9" w14:textId="77777777" w:rsidR="00F934F4" w:rsidRDefault="002A0946">
                            <w:pPr>
                              <w:pStyle w:val="EPCATitle"/>
                              <w:spacing w:after="0" w:line="240" w:lineRule="auto"/>
                              <w:jc w:val="right"/>
                              <w:rPr>
                                <w:rStyle w:val="Aucune"/>
                                <w:color w:val="FFFFFF"/>
                                <w:u w:color="FFFFFF"/>
                              </w:rPr>
                            </w:pPr>
                            <w:r>
                              <w:rPr>
                                <w:rStyle w:val="Aucune"/>
                                <w:color w:val="FFFFFF"/>
                                <w:u w:color="FFFFFF"/>
                              </w:rPr>
                              <w:t>BRIEFING NOTE</w:t>
                            </w:r>
                          </w:p>
                          <w:p w14:paraId="4860AAA4" w14:textId="77777777" w:rsidR="00F934F4" w:rsidRDefault="002A0946">
                            <w:pPr>
                              <w:pStyle w:val="EPCATitle"/>
                              <w:spacing w:before="40" w:after="0" w:line="240" w:lineRule="auto"/>
                              <w:jc w:val="right"/>
                            </w:pPr>
                            <w:r>
                              <w:rPr>
                                <w:rStyle w:val="Aucune"/>
                                <w:b w:val="0"/>
                                <w:bCs w:val="0"/>
                                <w:color w:val="FFFFFF"/>
                                <w:sz w:val="20"/>
                                <w:szCs w:val="20"/>
                                <w:u w:color="FFFFFF"/>
                              </w:rPr>
                              <w:t xml:space="preserve"> 14/12/2021 –BRI/21/KH/34804</w:t>
                            </w:r>
                          </w:p>
                        </w:txbxContent>
                      </wps:txbx>
                      <wps:bodyPr wrap="square" lIns="45719" tIns="45719" rIns="45719" bIns="45719" numCol="1" anchor="ctr">
                        <a:noAutofit/>
                      </wps:bodyPr>
                    </wps:wsp>
                  </a:graphicData>
                </a:graphic>
                <wp14:sizeRelH relativeFrom="margin">
                  <wp14:pctWidth>0</wp14:pctWidth>
                </wp14:sizeRelH>
              </wp:anchor>
            </w:drawing>
          </mc:Choice>
          <mc:Fallback>
            <w:pict>
              <v:shapetype w14:anchorId="1E5000AF" id="_x0000_t202" coordsize="21600,21600" o:spt="202" path="m,l,21600r21600,l21600,xe">
                <v:stroke joinstyle="miter"/>
                <v:path gradientshapeok="t" o:connecttype="rect"/>
              </v:shapetype>
              <v:shape id="officeArt object" o:spid="_x0000_s1026" type="#_x0000_t202" alt="Text Box 10" style="position:absolute;margin-left:377.6pt;margin-top:43.65pt;width:178.9pt;height:49.45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" fillcolor="#008a3e" stroked="f" strokeweight="1pt">
                <v:stroke miterlimit="4"/>
                <v:textbox inset="1.27mm,1.27mm,1.27mm,1.27mm">
                  <w:txbxContent>
                    <w:p w14:paraId="4F3BE8D9" w14:textId="77777777" w:rsidR="00F934F4" w:rsidRDefault="002A0946">
                      <w:pPr>
                        <w:pStyle w:val="EPCATitle"/>
                        <w:spacing w:after="0" w:line="240" w:lineRule="auto"/>
                        <w:jc w:val="right"/>
                        <w:rPr>
                          <w:rStyle w:val="Aucune"/>
                          <w:color w:val="FFFFFF"/>
                          <w:u w:color="FFFFFF"/>
                        </w:rPr>
                      </w:pPr>
                      <w:r>
                        <w:rPr>
                          <w:rStyle w:val="Aucune"/>
                          <w:color w:val="FFFFFF"/>
                          <w:u w:color="FFFFFF"/>
                        </w:rPr>
                        <w:t>BRIEFING NOTE</w:t>
                      </w:r>
                    </w:p>
                    <w:p w14:paraId="4860AAA4" w14:textId="77777777" w:rsidR="00F934F4" w:rsidRDefault="002A0946">
                      <w:pPr>
                        <w:pStyle w:val="EPCATitle"/>
                        <w:spacing w:before="40" w:after="0" w:line="240" w:lineRule="auto"/>
                        <w:jc w:val="right"/>
                      </w:pPr>
                      <w:r>
                        <w:rPr>
                          <w:rStyle w:val="Aucune"/>
                          <w:b w:val="0"/>
                          <w:bCs w:val="0"/>
                          <w:color w:val="FFFFFF"/>
                          <w:sz w:val="20"/>
                          <w:szCs w:val="20"/>
                          <w:u w:color="FFFFFF"/>
                        </w:rPr>
                        <w:t xml:space="preserve"> 14/12/2021 –BRI/21/KH/34804</w:t>
                      </w:r>
                    </w:p>
                  </w:txbxContent>
                </v:textbox>
                <w10:wrap anchorx="page" anchory="page"/>
              </v:shape>
            </w:pict>
          </mc:Fallback>
        </mc:AlternateContent>
      </w:r>
    </w:p>
    <w:p w14:paraId="518C9FE1" w14:textId="77777777" w:rsidR="000A2479" w:rsidRDefault="000A2479">
      <w:pPr>
        <w:pStyle w:val="EPCATitle"/>
        <w:rPr>
          <w:rFonts w:eastAsia="Arial Unicode MS" w:cs="Arial Unicode MS"/>
        </w:rPr>
      </w:pPr>
    </w:p>
    <w:p w14:paraId="420C44C1" w14:textId="19FE72F3" w:rsidR="00F934F4" w:rsidRPr="002A0946" w:rsidRDefault="002A0946">
      <w:pPr>
        <w:pStyle w:val="EPCATitle"/>
        <w:rPr>
          <w:color w:val="000000" w:themeColor="text1"/>
        </w:rPr>
      </w:pPr>
      <w:r w:rsidRPr="002A0946">
        <w:rPr>
          <w:rFonts w:eastAsia="Arial Unicode MS" w:cs="Arial Unicode MS"/>
          <w:color w:val="000000" w:themeColor="text1"/>
        </w:rPr>
        <w:t>SpERCs - Specific Environmental Release Categories</w:t>
      </w:r>
    </w:p>
    <w:p w14:paraId="6BB673F5" w14:textId="77777777" w:rsidR="00F934F4" w:rsidRDefault="00F934F4">
      <w:pPr>
        <w:pStyle w:val="EPCASubtitle"/>
        <w:rPr>
          <w:sz w:val="24"/>
          <w:szCs w:val="24"/>
        </w:rPr>
      </w:pPr>
    </w:p>
    <w:p w14:paraId="18C01029" w14:textId="77777777" w:rsidR="00B927AB" w:rsidRDefault="00B927AB" w:rsidP="00B927AB">
      <w:r>
        <w:t>CropLife Europe (t</w:t>
      </w:r>
      <w:r w:rsidRPr="00AE1CB7">
        <w:t>he</w:t>
      </w:r>
      <w:r>
        <w:t xml:space="preserve"> former</w:t>
      </w:r>
      <w:r w:rsidRPr="00AE1CB7">
        <w:t xml:space="preserve"> European Crop Protection Association</w:t>
      </w:r>
      <w:r>
        <w:t xml:space="preserve">, </w:t>
      </w:r>
      <w:r w:rsidRPr="00AE1CB7">
        <w:t>ECPA) has developed Specific Environmental Release Categories (</w:t>
      </w:r>
      <w:proofErr w:type="spellStart"/>
      <w:r w:rsidRPr="00AE1CB7">
        <w:t>SpERCs</w:t>
      </w:r>
      <w:proofErr w:type="spellEnd"/>
      <w:r w:rsidRPr="00AE1CB7">
        <w:t xml:space="preserve">) </w:t>
      </w:r>
      <w:r w:rsidRPr="006874F6">
        <w:t>for the environmental exposure assessment of substances used as co-formulants in plant protection products</w:t>
      </w:r>
      <w:r>
        <w:t xml:space="preserve"> (PPP)</w:t>
      </w:r>
      <w:r w:rsidRPr="006874F6">
        <w:t>.</w:t>
      </w:r>
      <w:r>
        <w:t xml:space="preserve"> The CLE </w:t>
      </w:r>
      <w:proofErr w:type="spellStart"/>
      <w:r>
        <w:t>SpERCs</w:t>
      </w:r>
      <w:proofErr w:type="spellEnd"/>
      <w:r>
        <w:t xml:space="preserve"> cover the conditions of outdoor and indoor use of a co-formulant in plant protection products by professionals and consumers.</w:t>
      </w:r>
      <w:r w:rsidRPr="006874F6">
        <w:t xml:space="preserve"> </w:t>
      </w:r>
      <w:r>
        <w:t xml:space="preserve">The background documentation of the CLE </w:t>
      </w:r>
      <w:proofErr w:type="spellStart"/>
      <w:r>
        <w:t>SpERCs</w:t>
      </w:r>
      <w:proofErr w:type="spellEnd"/>
      <w:r>
        <w:t xml:space="preserve"> has been published (</w:t>
      </w:r>
      <w:proofErr w:type="spellStart"/>
      <w:r>
        <w:t>Dobe</w:t>
      </w:r>
      <w:proofErr w:type="spellEnd"/>
      <w:r>
        <w:t xml:space="preserve"> et al. 2020). </w:t>
      </w:r>
    </w:p>
    <w:p w14:paraId="1B38ADEB" w14:textId="77777777" w:rsidR="00B927AB" w:rsidRDefault="00B927AB" w:rsidP="00B927AB"/>
    <w:p w14:paraId="6874CC9C" w14:textId="77777777" w:rsidR="00B927AB" w:rsidRDefault="00B927AB" w:rsidP="00B927AB">
      <w:r w:rsidRPr="006874F6">
        <w:t xml:space="preserve">The </w:t>
      </w:r>
      <w:r>
        <w:t>CLE</w:t>
      </w:r>
      <w:r w:rsidRPr="006874F6">
        <w:t xml:space="preserve"> </w:t>
      </w:r>
      <w:proofErr w:type="spellStart"/>
      <w:r w:rsidRPr="006874F6">
        <w:t>SpERCs</w:t>
      </w:r>
      <w:proofErr w:type="spellEnd"/>
      <w:r w:rsidRPr="006874F6">
        <w:t xml:space="preserve"> and associated </w:t>
      </w:r>
      <w:r>
        <w:t>release factor</w:t>
      </w:r>
      <w:r w:rsidRPr="006874F6">
        <w:t>s were developed for use solely with REACH nested multimedia mass balance models</w:t>
      </w:r>
      <w:r>
        <w:t xml:space="preserve"> (“EU TGD based models”)</w:t>
      </w:r>
      <w:r w:rsidRPr="006874F6">
        <w:t xml:space="preserve">, as part of the regional scale assessments, whereby emissions from all </w:t>
      </w:r>
      <w:r>
        <w:t xml:space="preserve">identified </w:t>
      </w:r>
      <w:r w:rsidRPr="006874F6">
        <w:t>uses</w:t>
      </w:r>
      <w:r>
        <w:t xml:space="preserve"> of a substance</w:t>
      </w:r>
      <w:r w:rsidRPr="006874F6">
        <w:t xml:space="preserve"> are considered. Use of the </w:t>
      </w:r>
      <w:r>
        <w:t>CLE</w:t>
      </w:r>
      <w:r w:rsidRPr="006874F6">
        <w:t xml:space="preserve"> </w:t>
      </w:r>
      <w:proofErr w:type="spellStart"/>
      <w:r w:rsidRPr="006874F6">
        <w:t>SpERCs</w:t>
      </w:r>
      <w:proofErr w:type="spellEnd"/>
      <w:r w:rsidRPr="006874F6">
        <w:t xml:space="preserve"> allows the co-formulant emissions from </w:t>
      </w:r>
      <w:r>
        <w:t>PPP</w:t>
      </w:r>
      <w:r w:rsidRPr="006874F6">
        <w:t xml:space="preserve"> to be fully accounted for in the risk assessment of other uses, as well as to consider the contribution from those</w:t>
      </w:r>
      <w:r>
        <w:t xml:space="preserve"> </w:t>
      </w:r>
      <w:r w:rsidRPr="006874F6">
        <w:t>uses in the</w:t>
      </w:r>
      <w:r>
        <w:t xml:space="preserve"> local environmental assessment of the</w:t>
      </w:r>
      <w:r w:rsidRPr="006874F6">
        <w:t xml:space="preserve"> </w:t>
      </w:r>
      <w:r>
        <w:t>PPP</w:t>
      </w:r>
      <w:r w:rsidRPr="006874F6">
        <w:t xml:space="preserve"> use.</w:t>
      </w:r>
    </w:p>
    <w:p w14:paraId="63DA7E5F" w14:textId="77777777" w:rsidR="00B927AB" w:rsidRDefault="00B927AB" w:rsidP="00B927AB"/>
    <w:p w14:paraId="502EEC76" w14:textId="77777777" w:rsidR="00B927AB" w:rsidRDefault="00B927AB" w:rsidP="00B927AB">
      <w:r w:rsidRPr="00C3190B">
        <w:t>A</w:t>
      </w:r>
      <w:r>
        <w:t xml:space="preserve"> CLE </w:t>
      </w:r>
      <w:r w:rsidRPr="00C3190B">
        <w:t>guidance document giving f</w:t>
      </w:r>
      <w:r>
        <w:t xml:space="preserve">ull details on the environmental risk assessments for co-formulants in plant protection products is available on the CLE webpage under the following link: </w:t>
      </w:r>
      <w:hyperlink r:id="rId6" w:history="1">
        <w:r w:rsidRPr="00E16CA6">
          <w:rPr>
            <w:rStyle w:val="Hyperlink"/>
          </w:rPr>
          <w:t>https://croplifeeurope.eu/pre-market-resources/reach-in-registration-evaluation-authorisation-and-restriction-of-chemicals/</w:t>
        </w:r>
      </w:hyperlink>
      <w:r>
        <w:t xml:space="preserve"> </w:t>
      </w:r>
    </w:p>
    <w:p w14:paraId="33323E90" w14:textId="77777777" w:rsidR="00B927AB" w:rsidRPr="00C3190B" w:rsidRDefault="00B927AB" w:rsidP="00B927AB">
      <w:r>
        <w:t xml:space="preserve">Full details on the </w:t>
      </w:r>
      <w:proofErr w:type="spellStart"/>
      <w:r>
        <w:t>SpERCs</w:t>
      </w:r>
      <w:proofErr w:type="spellEnd"/>
      <w:r>
        <w:t xml:space="preserve"> can be found in the published background documentation (</w:t>
      </w:r>
      <w:proofErr w:type="spellStart"/>
      <w:r>
        <w:t>Dobe</w:t>
      </w:r>
      <w:proofErr w:type="spellEnd"/>
      <w:r>
        <w:t xml:space="preserve"> et al. 2020).</w:t>
      </w:r>
    </w:p>
    <w:p w14:paraId="2996F008" w14:textId="77777777" w:rsidR="00B927AB" w:rsidRPr="00C3190B" w:rsidRDefault="00B927AB" w:rsidP="00B927AB"/>
    <w:p w14:paraId="1E8334F5" w14:textId="77777777" w:rsidR="00B927AB" w:rsidRDefault="00B927AB" w:rsidP="00B927AB">
      <w:r>
        <w:rPr>
          <w:noProof/>
        </w:rPr>
        <w:drawing>
          <wp:inline distT="0" distB="0" distL="0" distR="0" wp14:anchorId="62EE4C37" wp14:editId="6AEEC2E1">
            <wp:extent cx="4863796" cy="2735885"/>
            <wp:effectExtent l="0" t="0" r="0" b="762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6871" cy="2748864"/>
                    </a:xfrm>
                    <a:prstGeom prst="rect">
                      <a:avLst/>
                    </a:prstGeom>
                  </pic:spPr>
                </pic:pic>
              </a:graphicData>
            </a:graphic>
          </wp:inline>
        </w:drawing>
      </w:r>
    </w:p>
    <w:p w14:paraId="2A934A83" w14:textId="77777777" w:rsidR="00B927AB" w:rsidRDefault="00B927AB" w:rsidP="00B927AB">
      <w:pPr>
        <w:rPr>
          <w:b/>
          <w:bCs/>
        </w:rPr>
      </w:pPr>
    </w:p>
    <w:p w14:paraId="6F9E3D35" w14:textId="77777777" w:rsidR="00B927AB" w:rsidRPr="002D5299" w:rsidRDefault="00B927AB" w:rsidP="00B927AB">
      <w:pPr>
        <w:rPr>
          <w:b/>
          <w:bCs/>
        </w:rPr>
      </w:pPr>
      <w:r>
        <w:rPr>
          <w:b/>
          <w:bCs/>
        </w:rPr>
        <w:t>Local environmental assessment</w:t>
      </w:r>
    </w:p>
    <w:p w14:paraId="249F0E3F" w14:textId="77777777" w:rsidR="00B927AB" w:rsidRDefault="00B927AB" w:rsidP="00B927AB"/>
    <w:p w14:paraId="04F24143" w14:textId="77777777" w:rsidR="00B927AB" w:rsidRDefault="00B927AB" w:rsidP="00B927AB">
      <w:r>
        <w:t xml:space="preserve">The EU TGD models are mass balance (“tonnage”) based and the key assumption at the local scale is that release to water will be via an industrial wastewater or municipal sewage treatment plant before release to a river. Direct local releases to surface water may be assumed, but direct releases </w:t>
      </w:r>
      <w:r>
        <w:lastRenderedPageBreak/>
        <w:t xml:space="preserve">to agricultural soil are not considered and are in fact outside the scope of the EU TGD. </w:t>
      </w:r>
      <w:proofErr w:type="gramStart"/>
      <w:r>
        <w:t>As a consequence</w:t>
      </w:r>
      <w:proofErr w:type="gramEnd"/>
      <w:r>
        <w:t>, the default local exposure assessment approach based on EU TGD does not take account of uses where substances may be directly applied onto agricultural soil, or where other direct emissions to surface water may take place. However, this is relevant for the use of a substance as a co-formulant in PPP.</w:t>
      </w:r>
    </w:p>
    <w:p w14:paraId="5CBE478F" w14:textId="77777777" w:rsidR="00B927AB" w:rsidRDefault="00B927AB" w:rsidP="00B927AB"/>
    <w:p w14:paraId="0ACC16D7" w14:textId="77777777" w:rsidR="00B927AB" w:rsidRDefault="00B927AB" w:rsidP="00B927AB">
      <w:r>
        <w:t xml:space="preserve">The LET (Local Environment Tool) approach developed by CLE is a standalone replacement for the local scale nested box in the models based on the EU TGD. Boundary, regional environmental concentrations should be calculated using the CLE </w:t>
      </w:r>
      <w:proofErr w:type="spellStart"/>
      <w:r>
        <w:t>SpERCs</w:t>
      </w:r>
      <w:proofErr w:type="spellEnd"/>
      <w:r>
        <w:t xml:space="preserve"> (</w:t>
      </w:r>
      <w:proofErr w:type="gramStart"/>
      <w:r>
        <w:t>e.g.</w:t>
      </w:r>
      <w:proofErr w:type="gramEnd"/>
      <w:r>
        <w:t xml:space="preserve"> in EUSES, ECETOC TRA, CHESAR) and manually imported into the LET. The local scale environmental concentrations should then be calculated using the LET.</w:t>
      </w:r>
    </w:p>
    <w:p w14:paraId="5294DA12" w14:textId="77777777" w:rsidR="00B927AB" w:rsidRDefault="00B927AB" w:rsidP="00B927AB"/>
    <w:p w14:paraId="337EC593" w14:textId="77777777" w:rsidR="00B927AB" w:rsidRDefault="00B927AB" w:rsidP="00B927AB">
      <w:r>
        <w:t xml:space="preserve">A short webinar explaining the tools and approach developed for co-formulants used in PPP is available: </w:t>
      </w:r>
      <w:hyperlink r:id="rId8" w:history="1">
        <w:r w:rsidRPr="00E16CA6">
          <w:rPr>
            <w:rStyle w:val="Hyperlink"/>
          </w:rPr>
          <w:t>https://www.croplifeeurope.eu/webinars/reach</w:t>
        </w:r>
      </w:hyperlink>
      <w:r>
        <w:t>.</w:t>
      </w:r>
    </w:p>
    <w:p w14:paraId="216E547F" w14:textId="77777777" w:rsidR="00B927AB" w:rsidRDefault="00B927AB" w:rsidP="00B927AB">
      <w:r>
        <w:t xml:space="preserve">The LET tool, and a detailed description of the model and guidance on its use in the local assessment, is available in a guidance document published on the CLE webpage at: </w:t>
      </w:r>
      <w:hyperlink r:id="rId9" w:history="1">
        <w:r w:rsidRPr="00E16CA6">
          <w:rPr>
            <w:rStyle w:val="Hyperlink"/>
          </w:rPr>
          <w:t>https://croplifeeurope.eu/pre-market-resources/reach-in-registration-evaluation-authorisation-and-restriction-of-chemicals/</w:t>
        </w:r>
      </w:hyperlink>
      <w:r>
        <w:t xml:space="preserve"> </w:t>
      </w:r>
    </w:p>
    <w:p w14:paraId="20AC598A" w14:textId="77777777" w:rsidR="00B927AB" w:rsidRDefault="00B927AB" w:rsidP="00B927AB"/>
    <w:p w14:paraId="0EF3CEF7" w14:textId="77777777" w:rsidR="00B927AB" w:rsidRDefault="00B927AB" w:rsidP="00B927AB">
      <w:pPr>
        <w:rPr>
          <w:b/>
        </w:rPr>
      </w:pPr>
      <w:r>
        <w:rPr>
          <w:b/>
        </w:rPr>
        <w:t>Anticipated workflow for environmental risk assessment</w:t>
      </w:r>
    </w:p>
    <w:p w14:paraId="3A578650" w14:textId="77777777" w:rsidR="00B927AB" w:rsidRDefault="00B927AB" w:rsidP="00B927AB"/>
    <w:p w14:paraId="4AC887D3" w14:textId="77777777" w:rsidR="00B927AB" w:rsidRDefault="00B927AB" w:rsidP="00B927AB">
      <w:r>
        <w:t xml:space="preserve">The foreseen workflow for the use of CLE </w:t>
      </w:r>
      <w:proofErr w:type="spellStart"/>
      <w:r>
        <w:t>SpERCs</w:t>
      </w:r>
      <w:proofErr w:type="spellEnd"/>
      <w:r>
        <w:t xml:space="preserve"> consists of five steps:</w:t>
      </w:r>
    </w:p>
    <w:p w14:paraId="0A0F7E8D" w14:textId="77777777" w:rsidR="00B927AB" w:rsidRDefault="00B927AB" w:rsidP="00B927AB"/>
    <w:p w14:paraId="0F7692FC" w14:textId="77777777" w:rsidR="00B927AB" w:rsidRDefault="00B927AB" w:rsidP="00B927AB">
      <w:r>
        <w:rPr>
          <w:noProof/>
          <w:lang w:eastAsia="en-GB"/>
        </w:rPr>
        <mc:AlternateContent>
          <mc:Choice Requires="wps">
            <w:drawing>
              <wp:anchor distT="0" distB="0" distL="114300" distR="114300" simplePos="0" relativeHeight="251662336" behindDoc="0" locked="0" layoutInCell="1" allowOverlap="1" wp14:anchorId="64B716F7" wp14:editId="5EF8EADA">
                <wp:simplePos x="0" y="0"/>
                <wp:positionH relativeFrom="column">
                  <wp:posOffset>3809942</wp:posOffset>
                </wp:positionH>
                <wp:positionV relativeFrom="paragraph">
                  <wp:posOffset>59055</wp:posOffset>
                </wp:positionV>
                <wp:extent cx="1807787" cy="789305"/>
                <wp:effectExtent l="57150" t="38100" r="78740" b="86995"/>
                <wp:wrapNone/>
                <wp:docPr id="17" name="Rounded Rectangle 17"/>
                <wp:cNvGraphicFramePr/>
                <a:graphic xmlns:a="http://schemas.openxmlformats.org/drawingml/2006/main">
                  <a:graphicData uri="http://schemas.microsoft.com/office/word/2010/wordprocessingShape">
                    <wps:wsp>
                      <wps:cNvSpPr/>
                      <wps:spPr>
                        <a:xfrm>
                          <a:off x="0" y="0"/>
                          <a:ext cx="1807787" cy="789305"/>
                        </a:xfrm>
                        <a:prstGeom prst="roundRect">
                          <a:avLst/>
                        </a:prstGeom>
                        <a:ln w="12700">
                          <a:solidFill>
                            <a:schemeClr val="tx1">
                              <a:lumMod val="65000"/>
                              <a:lumOff val="35000"/>
                            </a:schemeClr>
                          </a:solidFill>
                        </a:ln>
                      </wps:spPr>
                      <wps:style>
                        <a:lnRef idx="3">
                          <a:schemeClr val="lt1"/>
                        </a:lnRef>
                        <a:fillRef idx="1">
                          <a:schemeClr val="accent5"/>
                        </a:fillRef>
                        <a:effectRef idx="1">
                          <a:schemeClr val="accent5"/>
                        </a:effectRef>
                        <a:fontRef idx="minor">
                          <a:schemeClr val="lt1"/>
                        </a:fontRef>
                      </wps:style>
                      <wps:txbx>
                        <w:txbxContent>
                          <w:p w14:paraId="47E0CB26" w14:textId="77777777" w:rsidR="00B927AB" w:rsidRPr="00AC5CB9" w:rsidRDefault="00B927AB" w:rsidP="00B927AB">
                            <w:pPr>
                              <w:jc w:val="center"/>
                              <w:rPr>
                                <w:color w:val="FFFFFF"/>
                                <w:sz w:val="20"/>
                                <w:szCs w:val="20"/>
                              </w:rPr>
                            </w:pPr>
                            <w:r w:rsidRPr="00AC5CB9">
                              <w:rPr>
                                <w:color w:val="FFFFFF"/>
                                <w:sz w:val="20"/>
                                <w:szCs w:val="20"/>
                              </w:rPr>
                              <w:t xml:space="preserve">Communicate maximum safe application rate (kg/ha) as conditions of safe use on the co-formulant </w:t>
                            </w:r>
                            <w:proofErr w:type="spellStart"/>
                            <w:r w:rsidRPr="00AC5CB9">
                              <w:rPr>
                                <w:color w:val="FFFFFF"/>
                                <w:sz w:val="20"/>
                                <w:szCs w:val="20"/>
                              </w:rPr>
                              <w:t>eSDS</w:t>
                            </w:r>
                            <w:proofErr w:type="spell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716F7" id="Rounded Rectangle 17" o:spid="_x0000_s1027" style="position:absolute;margin-left:300pt;margin-top:4.65pt;width:142.35pt;height: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" fillcolor="#4bacc6 [3208]" strokecolor="#5a5a5a [2109]" strokeweight="1pt">
                <v:shadow on="t" color="black" opacity="22937f" origin=",.5" offset="0,.63889mm"/>
                <v:textbox inset="1mm,1mm,1mm,1mm">
                  <w:txbxContent>
                    <w:p w14:paraId="47E0CB26" w14:textId="77777777" w:rsidR="00B927AB" w:rsidRPr="00AC5CB9" w:rsidRDefault="00B927AB" w:rsidP="00B927AB">
                      <w:pPr>
                        <w:jc w:val="center"/>
                        <w:rPr>
                          <w:color w:val="FFFFFF"/>
                          <w:sz w:val="20"/>
                          <w:szCs w:val="20"/>
                        </w:rPr>
                      </w:pPr>
                      <w:r w:rsidRPr="00AC5CB9">
                        <w:rPr>
                          <w:color w:val="FFFFFF"/>
                          <w:sz w:val="20"/>
                          <w:szCs w:val="20"/>
                        </w:rPr>
                        <w:t xml:space="preserve">Communicate maximum safe application rate (kg/ha) as conditions of safe use on the co-formulant </w:t>
                      </w:r>
                      <w:proofErr w:type="spellStart"/>
                      <w:r w:rsidRPr="00AC5CB9">
                        <w:rPr>
                          <w:color w:val="FFFFFF"/>
                          <w:sz w:val="20"/>
                          <w:szCs w:val="20"/>
                        </w:rPr>
                        <w:t>eSDS</w:t>
                      </w:r>
                      <w:proofErr w:type="spellEnd"/>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E56A755" wp14:editId="2D5E1E34">
                <wp:simplePos x="0" y="0"/>
                <wp:positionH relativeFrom="column">
                  <wp:posOffset>115</wp:posOffset>
                </wp:positionH>
                <wp:positionV relativeFrom="paragraph">
                  <wp:posOffset>59055</wp:posOffset>
                </wp:positionV>
                <wp:extent cx="1801091" cy="789709"/>
                <wp:effectExtent l="57150" t="38100" r="85090" b="86995"/>
                <wp:wrapNone/>
                <wp:docPr id="14" name="Rounded Rectangle 14"/>
                <wp:cNvGraphicFramePr/>
                <a:graphic xmlns:a="http://schemas.openxmlformats.org/drawingml/2006/main">
                  <a:graphicData uri="http://schemas.microsoft.com/office/word/2010/wordprocessingShape">
                    <wps:wsp>
                      <wps:cNvSpPr/>
                      <wps:spPr>
                        <a:xfrm>
                          <a:off x="0" y="0"/>
                          <a:ext cx="1801091" cy="789709"/>
                        </a:xfrm>
                        <a:prstGeom prst="roundRect">
                          <a:avLst/>
                        </a:prstGeom>
                        <a:ln w="12700">
                          <a:solidFill>
                            <a:schemeClr val="tx1">
                              <a:lumMod val="65000"/>
                              <a:lumOff val="35000"/>
                            </a:schemeClr>
                          </a:solidFill>
                        </a:ln>
                      </wps:spPr>
                      <wps:style>
                        <a:lnRef idx="3">
                          <a:schemeClr val="lt1"/>
                        </a:lnRef>
                        <a:fillRef idx="1">
                          <a:schemeClr val="accent5"/>
                        </a:fillRef>
                        <a:effectRef idx="1">
                          <a:schemeClr val="accent5"/>
                        </a:effectRef>
                        <a:fontRef idx="minor">
                          <a:schemeClr val="lt1"/>
                        </a:fontRef>
                      </wps:style>
                      <wps:txbx>
                        <w:txbxContent>
                          <w:p w14:paraId="0E0774EA" w14:textId="77777777" w:rsidR="00B927AB" w:rsidRPr="00AC5CB9" w:rsidRDefault="00B927AB" w:rsidP="00B927AB">
                            <w:pPr>
                              <w:jc w:val="center"/>
                              <w:rPr>
                                <w:color w:val="FFFFFF"/>
                                <w:sz w:val="20"/>
                                <w:szCs w:val="20"/>
                              </w:rPr>
                            </w:pPr>
                            <w:r w:rsidRPr="00AC5CB9">
                              <w:rPr>
                                <w:color w:val="FFFFFF"/>
                                <w:sz w:val="20"/>
                                <w:szCs w:val="20"/>
                              </w:rPr>
                              <w:t>Enter the generic exposure scenarios for co-formulant use in the CSR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6A755" id="Rounded Rectangle 14" o:spid="_x0000_s1028" style="position:absolute;margin-left:0;margin-top:4.65pt;width:141.8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" fillcolor="#4bacc6 [3208]" strokecolor="#5a5a5a [2109]" strokeweight="1pt">
                <v:shadow on="t" color="black" opacity="22937f" origin=",.5" offset="0,.63889mm"/>
                <v:textbox inset="1mm,1mm,1mm,1mm">
                  <w:txbxContent>
                    <w:p w14:paraId="0E0774EA" w14:textId="77777777" w:rsidR="00B927AB" w:rsidRPr="00AC5CB9" w:rsidRDefault="00B927AB" w:rsidP="00B927AB">
                      <w:pPr>
                        <w:jc w:val="center"/>
                        <w:rPr>
                          <w:color w:val="FFFFFF"/>
                          <w:sz w:val="20"/>
                          <w:szCs w:val="20"/>
                        </w:rPr>
                      </w:pPr>
                      <w:r w:rsidRPr="00AC5CB9">
                        <w:rPr>
                          <w:color w:val="FFFFFF"/>
                          <w:sz w:val="20"/>
                          <w:szCs w:val="20"/>
                        </w:rPr>
                        <w:t>Enter the generic exposure scenarios for co-formulant use in the CSR</w:t>
                      </w:r>
                    </w:p>
                  </w:txbxContent>
                </v:textbox>
              </v:roundrect>
            </w:pict>
          </mc:Fallback>
        </mc:AlternateContent>
      </w:r>
    </w:p>
    <w:p w14:paraId="52F18405" w14:textId="77777777" w:rsidR="00B927AB" w:rsidRDefault="00B927AB" w:rsidP="00B927AB"/>
    <w:p w14:paraId="16628FAE" w14:textId="77777777" w:rsidR="00B927AB" w:rsidRDefault="00B927AB" w:rsidP="00B927AB"/>
    <w:p w14:paraId="5E2ED436" w14:textId="77777777" w:rsidR="00B927AB" w:rsidRDefault="00B927AB" w:rsidP="00B927AB"/>
    <w:p w14:paraId="458FF8D4" w14:textId="77777777" w:rsidR="00B927AB" w:rsidRDefault="00B927AB" w:rsidP="00B927AB"/>
    <w:p w14:paraId="3F49B55B" w14:textId="77777777" w:rsidR="00B927AB" w:rsidRDefault="00B927AB" w:rsidP="00B927AB"/>
    <w:p w14:paraId="09BF43D2" w14:textId="77777777" w:rsidR="00B927AB" w:rsidRDefault="00B927AB" w:rsidP="00B927AB">
      <w:r>
        <w:rPr>
          <w:noProof/>
          <w:lang w:eastAsia="en-GB"/>
        </w:rPr>
        <mc:AlternateContent>
          <mc:Choice Requires="wps">
            <w:drawing>
              <wp:anchor distT="0" distB="0" distL="114300" distR="114300" simplePos="0" relativeHeight="251664384" behindDoc="0" locked="0" layoutInCell="1" allowOverlap="1" wp14:anchorId="0EB97ED2" wp14:editId="7D42EE2A">
                <wp:simplePos x="0" y="0"/>
                <wp:positionH relativeFrom="column">
                  <wp:posOffset>4484947</wp:posOffset>
                </wp:positionH>
                <wp:positionV relativeFrom="paragraph">
                  <wp:posOffset>132715</wp:posOffset>
                </wp:positionV>
                <wp:extent cx="480060" cy="327660"/>
                <wp:effectExtent l="0" t="19050" r="34290" b="15240"/>
                <wp:wrapNone/>
                <wp:docPr id="19" name="Right Arrow 19"/>
                <wp:cNvGraphicFramePr/>
                <a:graphic xmlns:a="http://schemas.openxmlformats.org/drawingml/2006/main">
                  <a:graphicData uri="http://schemas.microsoft.com/office/word/2010/wordprocessingShape">
                    <wps:wsp>
                      <wps:cNvSpPr/>
                      <wps:spPr>
                        <a:xfrm rot="16200000">
                          <a:off x="0" y="0"/>
                          <a:ext cx="480060" cy="327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F6AF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353.15pt;margin-top:10.45pt;width:37.8pt;height:25.8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" adj="14229" fillcolor="#4f81bd [3204]" strokecolor="#243f60 [1604]"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0BB7C416" wp14:editId="23EA392A">
                <wp:simplePos x="0" y="0"/>
                <wp:positionH relativeFrom="column">
                  <wp:posOffset>654627</wp:posOffset>
                </wp:positionH>
                <wp:positionV relativeFrom="paragraph">
                  <wp:posOffset>136525</wp:posOffset>
                </wp:positionV>
                <wp:extent cx="480060" cy="327660"/>
                <wp:effectExtent l="19050" t="0" r="34290" b="34290"/>
                <wp:wrapNone/>
                <wp:docPr id="20" name="Right Arrow 20"/>
                <wp:cNvGraphicFramePr/>
                <a:graphic xmlns:a="http://schemas.openxmlformats.org/drawingml/2006/main">
                  <a:graphicData uri="http://schemas.microsoft.com/office/word/2010/wordprocessingShape">
                    <wps:wsp>
                      <wps:cNvSpPr/>
                      <wps:spPr>
                        <a:xfrm rot="5400000">
                          <a:off x="0" y="0"/>
                          <a:ext cx="480060" cy="327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156CA8" id="Right Arrow 20" o:spid="_x0000_s1026" type="#_x0000_t13" style="position:absolute;margin-left:51.55pt;margin-top:10.75pt;width:37.8pt;height:25.8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" adj="14229" fillcolor="#4f81bd [3204]" strokecolor="#243f60 [1604]" strokeweight="2pt"/>
            </w:pict>
          </mc:Fallback>
        </mc:AlternateContent>
      </w:r>
    </w:p>
    <w:p w14:paraId="09998803" w14:textId="77777777" w:rsidR="00B927AB" w:rsidRDefault="00B927AB" w:rsidP="00B927AB"/>
    <w:p w14:paraId="6203A1D2" w14:textId="77777777" w:rsidR="00B927AB" w:rsidRDefault="00B927AB" w:rsidP="00B927AB"/>
    <w:p w14:paraId="4063E11C" w14:textId="77777777" w:rsidR="00B927AB" w:rsidRDefault="00B927AB" w:rsidP="00B927AB">
      <w:r>
        <w:rPr>
          <w:noProof/>
          <w:lang w:eastAsia="en-GB"/>
        </w:rPr>
        <mc:AlternateContent>
          <mc:Choice Requires="wps">
            <w:drawing>
              <wp:anchor distT="0" distB="0" distL="114300" distR="114300" simplePos="0" relativeHeight="251666432" behindDoc="0" locked="0" layoutInCell="1" allowOverlap="1" wp14:anchorId="6B9FCA6F" wp14:editId="6C25FDC8">
                <wp:simplePos x="0" y="0"/>
                <wp:positionH relativeFrom="column">
                  <wp:posOffset>3830897</wp:posOffset>
                </wp:positionH>
                <wp:positionV relativeFrom="paragraph">
                  <wp:posOffset>161290</wp:posOffset>
                </wp:positionV>
                <wp:extent cx="1800860" cy="629920"/>
                <wp:effectExtent l="57150" t="38100" r="85090" b="93980"/>
                <wp:wrapNone/>
                <wp:docPr id="3" name="Rounded Rectangle 3"/>
                <wp:cNvGraphicFramePr/>
                <a:graphic xmlns:a="http://schemas.openxmlformats.org/drawingml/2006/main">
                  <a:graphicData uri="http://schemas.microsoft.com/office/word/2010/wordprocessingShape">
                    <wps:wsp>
                      <wps:cNvSpPr/>
                      <wps:spPr>
                        <a:xfrm>
                          <a:off x="0" y="0"/>
                          <a:ext cx="1800860" cy="629920"/>
                        </a:xfrm>
                        <a:prstGeom prst="roundRect">
                          <a:avLst/>
                        </a:prstGeom>
                        <a:ln w="12700">
                          <a:solidFill>
                            <a:schemeClr val="tx1">
                              <a:lumMod val="65000"/>
                              <a:lumOff val="35000"/>
                            </a:schemeClr>
                          </a:solidFill>
                        </a:ln>
                      </wps:spPr>
                      <wps:style>
                        <a:lnRef idx="3">
                          <a:schemeClr val="lt1"/>
                        </a:lnRef>
                        <a:fillRef idx="1">
                          <a:schemeClr val="accent5"/>
                        </a:fillRef>
                        <a:effectRef idx="1">
                          <a:schemeClr val="accent5"/>
                        </a:effectRef>
                        <a:fontRef idx="minor">
                          <a:schemeClr val="lt1"/>
                        </a:fontRef>
                      </wps:style>
                      <wps:txbx>
                        <w:txbxContent>
                          <w:p w14:paraId="25C46F8E" w14:textId="77777777" w:rsidR="00B927AB" w:rsidRPr="00AC5CB9" w:rsidRDefault="00B927AB" w:rsidP="00B927AB">
                            <w:pPr>
                              <w:jc w:val="center"/>
                              <w:rPr>
                                <w:color w:val="FFFFFF"/>
                                <w:sz w:val="20"/>
                                <w:szCs w:val="20"/>
                              </w:rPr>
                            </w:pPr>
                            <w:r w:rsidRPr="00AC5CB9">
                              <w:rPr>
                                <w:color w:val="FFFFFF"/>
                                <w:sz w:val="20"/>
                                <w:szCs w:val="20"/>
                              </w:rPr>
                              <w:t>Add LET output to the contributing</w:t>
                            </w:r>
                            <w:r>
                              <w:rPr>
                                <w:color w:val="FFFFFF"/>
                                <w:sz w:val="20"/>
                                <w:szCs w:val="20"/>
                              </w:rPr>
                              <w:t xml:space="preserve"> </w:t>
                            </w:r>
                            <w:r w:rsidRPr="00AC5CB9">
                              <w:rPr>
                                <w:color w:val="FFFFFF"/>
                                <w:sz w:val="20"/>
                                <w:szCs w:val="20"/>
                              </w:rPr>
                              <w:t>scenarios in CSR</w:t>
                            </w:r>
                          </w:p>
                          <w:p w14:paraId="7BF851E1" w14:textId="77777777" w:rsidR="00B927AB" w:rsidRPr="00AC5CB9" w:rsidRDefault="00B927AB" w:rsidP="00B927AB">
                            <w:pPr>
                              <w:jc w:val="center"/>
                              <w:rPr>
                                <w:color w:val="FFFFFF"/>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FCA6F" id="Rounded Rectangle 3" o:spid="_x0000_s1029" style="position:absolute;margin-left:301.65pt;margin-top:12.7pt;width:141.8pt;height:4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" fillcolor="#4bacc6 [3208]" strokecolor="#5a5a5a [2109]" strokeweight="1pt">
                <v:shadow on="t" color="black" opacity="22937f" origin=",.5" offset="0,.63889mm"/>
                <v:textbox inset="1mm,1mm,1mm,1mm">
                  <w:txbxContent>
                    <w:p w14:paraId="25C46F8E" w14:textId="77777777" w:rsidR="00B927AB" w:rsidRPr="00AC5CB9" w:rsidRDefault="00B927AB" w:rsidP="00B927AB">
                      <w:pPr>
                        <w:jc w:val="center"/>
                        <w:rPr>
                          <w:color w:val="FFFFFF"/>
                          <w:sz w:val="20"/>
                          <w:szCs w:val="20"/>
                        </w:rPr>
                      </w:pPr>
                      <w:r w:rsidRPr="00AC5CB9">
                        <w:rPr>
                          <w:color w:val="FFFFFF"/>
                          <w:sz w:val="20"/>
                          <w:szCs w:val="20"/>
                        </w:rPr>
                        <w:t>Add LET output to the contributing</w:t>
                      </w:r>
                      <w:r>
                        <w:rPr>
                          <w:color w:val="FFFFFF"/>
                          <w:sz w:val="20"/>
                          <w:szCs w:val="20"/>
                        </w:rPr>
                        <w:t xml:space="preserve"> </w:t>
                      </w:r>
                      <w:r w:rsidRPr="00AC5CB9">
                        <w:rPr>
                          <w:color w:val="FFFFFF"/>
                          <w:sz w:val="20"/>
                          <w:szCs w:val="20"/>
                        </w:rPr>
                        <w:t>scenarios in CSR</w:t>
                      </w:r>
                    </w:p>
                    <w:p w14:paraId="7BF851E1" w14:textId="77777777" w:rsidR="00B927AB" w:rsidRPr="00AC5CB9" w:rsidRDefault="00B927AB" w:rsidP="00B927AB">
                      <w:pPr>
                        <w:jc w:val="center"/>
                        <w:rPr>
                          <w:color w:val="FFFFFF"/>
                          <w:sz w:val="20"/>
                          <w:szCs w:val="20"/>
                        </w:rPr>
                      </w:pPr>
                    </w:p>
                  </w:txbxContent>
                </v:textbox>
              </v:roundrect>
            </w:pict>
          </mc:Fallback>
        </mc:AlternateContent>
      </w:r>
    </w:p>
    <w:p w14:paraId="52BFD79F" w14:textId="77777777" w:rsidR="00B927AB" w:rsidRDefault="00B927AB" w:rsidP="00B927AB">
      <w:r>
        <w:rPr>
          <w:noProof/>
          <w:lang w:eastAsia="en-GB"/>
        </w:rPr>
        <mc:AlternateContent>
          <mc:Choice Requires="wps">
            <w:drawing>
              <wp:anchor distT="0" distB="0" distL="114300" distR="114300" simplePos="0" relativeHeight="251660288" behindDoc="0" locked="0" layoutInCell="1" allowOverlap="1" wp14:anchorId="0885CC6F" wp14:editId="10006BA9">
                <wp:simplePos x="0" y="0"/>
                <wp:positionH relativeFrom="column">
                  <wp:posOffset>1270</wp:posOffset>
                </wp:positionH>
                <wp:positionV relativeFrom="paragraph">
                  <wp:posOffset>8255</wp:posOffset>
                </wp:positionV>
                <wp:extent cx="1800860" cy="1422400"/>
                <wp:effectExtent l="57150" t="38100" r="85090" b="101600"/>
                <wp:wrapNone/>
                <wp:docPr id="15" name="Rounded Rectangle 15"/>
                <wp:cNvGraphicFramePr/>
                <a:graphic xmlns:a="http://schemas.openxmlformats.org/drawingml/2006/main">
                  <a:graphicData uri="http://schemas.microsoft.com/office/word/2010/wordprocessingShape">
                    <wps:wsp>
                      <wps:cNvSpPr/>
                      <wps:spPr>
                        <a:xfrm>
                          <a:off x="0" y="0"/>
                          <a:ext cx="1800860" cy="1422400"/>
                        </a:xfrm>
                        <a:prstGeom prst="roundRect">
                          <a:avLst/>
                        </a:prstGeom>
                        <a:ln w="12700">
                          <a:solidFill>
                            <a:schemeClr val="tx1">
                              <a:lumMod val="65000"/>
                              <a:lumOff val="35000"/>
                            </a:schemeClr>
                          </a:solidFill>
                        </a:ln>
                      </wps:spPr>
                      <wps:style>
                        <a:lnRef idx="3">
                          <a:schemeClr val="lt1"/>
                        </a:lnRef>
                        <a:fillRef idx="1">
                          <a:schemeClr val="accent5"/>
                        </a:fillRef>
                        <a:effectRef idx="1">
                          <a:schemeClr val="accent5"/>
                        </a:effectRef>
                        <a:fontRef idx="minor">
                          <a:schemeClr val="lt1"/>
                        </a:fontRef>
                      </wps:style>
                      <wps:txbx>
                        <w:txbxContent>
                          <w:p w14:paraId="0362BFF0" w14:textId="77777777" w:rsidR="00B927AB" w:rsidRPr="00AC5CB9" w:rsidRDefault="00B927AB" w:rsidP="00B927AB">
                            <w:pPr>
                              <w:jc w:val="center"/>
                              <w:rPr>
                                <w:color w:val="FFFFFF"/>
                                <w:sz w:val="20"/>
                                <w:szCs w:val="20"/>
                              </w:rPr>
                            </w:pPr>
                            <w:r>
                              <w:rPr>
                                <w:color w:val="FFFFFF"/>
                                <w:sz w:val="20"/>
                                <w:szCs w:val="20"/>
                              </w:rPr>
                              <w:t>Upload the CLE use map file in box 2 of the CHESAR substance file or a</w:t>
                            </w:r>
                            <w:r w:rsidRPr="00AC5CB9">
                              <w:rPr>
                                <w:color w:val="FFFFFF"/>
                                <w:sz w:val="20"/>
                                <w:szCs w:val="20"/>
                              </w:rPr>
                              <w:t xml:space="preserve">dd the </w:t>
                            </w:r>
                            <w:r>
                              <w:rPr>
                                <w:color w:val="FFFFFF"/>
                                <w:sz w:val="20"/>
                                <w:szCs w:val="20"/>
                              </w:rPr>
                              <w:t>CLE</w:t>
                            </w:r>
                            <w:r w:rsidRPr="00AC5CB9">
                              <w:rPr>
                                <w:color w:val="FFFFFF"/>
                                <w:sz w:val="20"/>
                                <w:szCs w:val="20"/>
                              </w:rPr>
                              <w:t xml:space="preserve"> </w:t>
                            </w:r>
                            <w:proofErr w:type="spellStart"/>
                            <w:r w:rsidRPr="00AC5CB9">
                              <w:rPr>
                                <w:color w:val="FFFFFF"/>
                                <w:sz w:val="20"/>
                                <w:szCs w:val="20"/>
                              </w:rPr>
                              <w:t>SpERCs</w:t>
                            </w:r>
                            <w:proofErr w:type="spellEnd"/>
                            <w:r w:rsidRPr="00AC5CB9">
                              <w:rPr>
                                <w:color w:val="FFFFFF"/>
                                <w:sz w:val="20"/>
                                <w:szCs w:val="20"/>
                              </w:rPr>
                              <w:t xml:space="preserve"> to the </w:t>
                            </w:r>
                            <w:proofErr w:type="spellStart"/>
                            <w:r>
                              <w:rPr>
                                <w:color w:val="FFFFFF"/>
                                <w:sz w:val="20"/>
                                <w:szCs w:val="20"/>
                              </w:rPr>
                              <w:t>finalised</w:t>
                            </w:r>
                            <w:proofErr w:type="spellEnd"/>
                            <w:r w:rsidRPr="00AC5CB9">
                              <w:rPr>
                                <w:color w:val="FFFFFF"/>
                                <w:sz w:val="20"/>
                                <w:szCs w:val="20"/>
                              </w:rPr>
                              <w:t xml:space="preserve"> environmental risk assessment in ECETOC TRA or EUSES and calculate </w:t>
                            </w:r>
                            <w:proofErr w:type="spellStart"/>
                            <w:r w:rsidRPr="00AC5CB9">
                              <w:rPr>
                                <w:color w:val="FFFFFF"/>
                                <w:sz w:val="20"/>
                                <w:szCs w:val="20"/>
                              </w:rPr>
                              <w:t>PEC</w:t>
                            </w:r>
                            <w:r w:rsidRPr="00AC5CB9">
                              <w:rPr>
                                <w:color w:val="FFFFFF"/>
                                <w:sz w:val="20"/>
                                <w:szCs w:val="20"/>
                                <w:vertAlign w:val="subscript"/>
                              </w:rPr>
                              <w:t>regional</w:t>
                            </w:r>
                            <w:proofErr w:type="spell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5CC6F" id="Rounded Rectangle 15" o:spid="_x0000_s1030" style="position:absolute;margin-left:.1pt;margin-top:.65pt;width:141.8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" fillcolor="#4bacc6 [3208]" strokecolor="#5a5a5a [2109]" strokeweight="1pt">
                <v:shadow on="t" color="black" opacity="22937f" origin=",.5" offset="0,.63889mm"/>
                <v:textbox inset="1mm,1mm,1mm,1mm">
                  <w:txbxContent>
                    <w:p w14:paraId="0362BFF0" w14:textId="77777777" w:rsidR="00B927AB" w:rsidRPr="00AC5CB9" w:rsidRDefault="00B927AB" w:rsidP="00B927AB">
                      <w:pPr>
                        <w:jc w:val="center"/>
                        <w:rPr>
                          <w:color w:val="FFFFFF"/>
                          <w:sz w:val="20"/>
                          <w:szCs w:val="20"/>
                        </w:rPr>
                      </w:pPr>
                      <w:r>
                        <w:rPr>
                          <w:color w:val="FFFFFF"/>
                          <w:sz w:val="20"/>
                          <w:szCs w:val="20"/>
                        </w:rPr>
                        <w:t>Upload the CLE use map file in box 2 of the CHESAR substance file or a</w:t>
                      </w:r>
                      <w:r w:rsidRPr="00AC5CB9">
                        <w:rPr>
                          <w:color w:val="FFFFFF"/>
                          <w:sz w:val="20"/>
                          <w:szCs w:val="20"/>
                        </w:rPr>
                        <w:t xml:space="preserve">dd the </w:t>
                      </w:r>
                      <w:r>
                        <w:rPr>
                          <w:color w:val="FFFFFF"/>
                          <w:sz w:val="20"/>
                          <w:szCs w:val="20"/>
                        </w:rPr>
                        <w:t>CLE</w:t>
                      </w:r>
                      <w:r w:rsidRPr="00AC5CB9">
                        <w:rPr>
                          <w:color w:val="FFFFFF"/>
                          <w:sz w:val="20"/>
                          <w:szCs w:val="20"/>
                        </w:rPr>
                        <w:t xml:space="preserve"> </w:t>
                      </w:r>
                      <w:proofErr w:type="spellStart"/>
                      <w:r w:rsidRPr="00AC5CB9">
                        <w:rPr>
                          <w:color w:val="FFFFFF"/>
                          <w:sz w:val="20"/>
                          <w:szCs w:val="20"/>
                        </w:rPr>
                        <w:t>SpERCs</w:t>
                      </w:r>
                      <w:proofErr w:type="spellEnd"/>
                      <w:r w:rsidRPr="00AC5CB9">
                        <w:rPr>
                          <w:color w:val="FFFFFF"/>
                          <w:sz w:val="20"/>
                          <w:szCs w:val="20"/>
                        </w:rPr>
                        <w:t xml:space="preserve"> to the </w:t>
                      </w:r>
                      <w:proofErr w:type="spellStart"/>
                      <w:r>
                        <w:rPr>
                          <w:color w:val="FFFFFF"/>
                          <w:sz w:val="20"/>
                          <w:szCs w:val="20"/>
                        </w:rPr>
                        <w:t>finalised</w:t>
                      </w:r>
                      <w:proofErr w:type="spellEnd"/>
                      <w:r w:rsidRPr="00AC5CB9">
                        <w:rPr>
                          <w:color w:val="FFFFFF"/>
                          <w:sz w:val="20"/>
                          <w:szCs w:val="20"/>
                        </w:rPr>
                        <w:t xml:space="preserve"> environmental risk assessment in ECETOC TRA or EUSES and calculate </w:t>
                      </w:r>
                      <w:proofErr w:type="spellStart"/>
                      <w:r w:rsidRPr="00AC5CB9">
                        <w:rPr>
                          <w:color w:val="FFFFFF"/>
                          <w:sz w:val="20"/>
                          <w:szCs w:val="20"/>
                        </w:rPr>
                        <w:t>PEC</w:t>
                      </w:r>
                      <w:r w:rsidRPr="00AC5CB9">
                        <w:rPr>
                          <w:color w:val="FFFFFF"/>
                          <w:sz w:val="20"/>
                          <w:szCs w:val="20"/>
                          <w:vertAlign w:val="subscript"/>
                        </w:rPr>
                        <w:t>regional</w:t>
                      </w:r>
                      <w:proofErr w:type="spellEnd"/>
                    </w:p>
                  </w:txbxContent>
                </v:textbox>
              </v:roundrect>
            </w:pict>
          </mc:Fallback>
        </mc:AlternateContent>
      </w:r>
    </w:p>
    <w:p w14:paraId="24BFD08C" w14:textId="77777777" w:rsidR="00B927AB" w:rsidRDefault="00B927AB" w:rsidP="00B927AB"/>
    <w:p w14:paraId="6DB03FE8" w14:textId="77777777" w:rsidR="00B927AB" w:rsidRDefault="00B927AB" w:rsidP="00B927AB"/>
    <w:p w14:paraId="1D909833" w14:textId="77777777" w:rsidR="00B927AB" w:rsidRDefault="00B927AB" w:rsidP="00B927AB"/>
    <w:p w14:paraId="4F2BAC2D" w14:textId="77777777" w:rsidR="00B927AB" w:rsidRDefault="00B927AB" w:rsidP="00B927AB">
      <w:r>
        <w:rPr>
          <w:noProof/>
          <w:lang w:eastAsia="en-GB"/>
        </w:rPr>
        <mc:AlternateContent>
          <mc:Choice Requires="wps">
            <w:drawing>
              <wp:anchor distT="0" distB="0" distL="114300" distR="114300" simplePos="0" relativeHeight="251667456" behindDoc="0" locked="0" layoutInCell="1" allowOverlap="1" wp14:anchorId="7B2EE1BF" wp14:editId="509754CC">
                <wp:simplePos x="0" y="0"/>
                <wp:positionH relativeFrom="column">
                  <wp:posOffset>3312737</wp:posOffset>
                </wp:positionH>
                <wp:positionV relativeFrom="paragraph">
                  <wp:posOffset>79375</wp:posOffset>
                </wp:positionV>
                <wp:extent cx="480060" cy="327660"/>
                <wp:effectExtent l="38100" t="38100" r="0" b="53340"/>
                <wp:wrapNone/>
                <wp:docPr id="4" name="Right Arrow 4"/>
                <wp:cNvGraphicFramePr/>
                <a:graphic xmlns:a="http://schemas.openxmlformats.org/drawingml/2006/main">
                  <a:graphicData uri="http://schemas.microsoft.com/office/word/2010/wordprocessingShape">
                    <wps:wsp>
                      <wps:cNvSpPr/>
                      <wps:spPr>
                        <a:xfrm rot="19730773" flipV="1">
                          <a:off x="0" y="0"/>
                          <a:ext cx="480060" cy="327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A098E" id="Right Arrow 4" o:spid="_x0000_s1026" type="#_x0000_t13" style="position:absolute;margin-left:260.85pt;margin-top:6.25pt;width:37.8pt;height:25.8pt;rotation:2041694fd;flip:y;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" adj="14229" fillcolor="#4f81bd [3204]" strokecolor="#243f60 [1604]"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589CEC0D" wp14:editId="171895AD">
                <wp:simplePos x="0" y="0"/>
                <wp:positionH relativeFrom="column">
                  <wp:posOffset>1922145</wp:posOffset>
                </wp:positionH>
                <wp:positionV relativeFrom="paragraph">
                  <wp:posOffset>96982</wp:posOffset>
                </wp:positionV>
                <wp:extent cx="480060" cy="327660"/>
                <wp:effectExtent l="38100" t="57150" r="0" b="53340"/>
                <wp:wrapNone/>
                <wp:docPr id="18" name="Right Arrow 18"/>
                <wp:cNvGraphicFramePr/>
                <a:graphic xmlns:a="http://schemas.openxmlformats.org/drawingml/2006/main">
                  <a:graphicData uri="http://schemas.microsoft.com/office/word/2010/wordprocessingShape">
                    <wps:wsp>
                      <wps:cNvSpPr/>
                      <wps:spPr>
                        <a:xfrm rot="1869227">
                          <a:off x="0" y="0"/>
                          <a:ext cx="480060" cy="327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8425D" id="Right Arrow 18" o:spid="_x0000_s1026" type="#_x0000_t13" style="position:absolute;margin-left:151.35pt;margin-top:7.65pt;width:37.8pt;height:25.8pt;rotation:2041694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" adj="14229" fillcolor="#4f81bd [3204]" strokecolor="#243f60 [1604]" strokeweight="2pt"/>
            </w:pict>
          </mc:Fallback>
        </mc:AlternateContent>
      </w:r>
    </w:p>
    <w:p w14:paraId="59791768" w14:textId="77777777" w:rsidR="00B927AB" w:rsidRDefault="00B927AB" w:rsidP="00B927AB"/>
    <w:p w14:paraId="1583E18D" w14:textId="77777777" w:rsidR="00B927AB" w:rsidRDefault="00B927AB" w:rsidP="00B927AB"/>
    <w:p w14:paraId="7F709FDB" w14:textId="77777777" w:rsidR="00B927AB" w:rsidRDefault="00B927AB" w:rsidP="00B927AB">
      <w:r>
        <w:rPr>
          <w:noProof/>
          <w:lang w:eastAsia="en-GB"/>
        </w:rPr>
        <mc:AlternateContent>
          <mc:Choice Requires="wps">
            <w:drawing>
              <wp:anchor distT="0" distB="0" distL="114300" distR="114300" simplePos="0" relativeHeight="251661312" behindDoc="0" locked="0" layoutInCell="1" allowOverlap="1" wp14:anchorId="2532D75B" wp14:editId="2A7C78CE">
                <wp:simplePos x="0" y="0"/>
                <wp:positionH relativeFrom="column">
                  <wp:posOffset>1877406</wp:posOffset>
                </wp:positionH>
                <wp:positionV relativeFrom="paragraph">
                  <wp:posOffset>23264</wp:posOffset>
                </wp:positionV>
                <wp:extent cx="1863437" cy="796636"/>
                <wp:effectExtent l="57150" t="38100" r="80010" b="99060"/>
                <wp:wrapNone/>
                <wp:docPr id="16" name="Rounded Rectangle 16"/>
                <wp:cNvGraphicFramePr/>
                <a:graphic xmlns:a="http://schemas.openxmlformats.org/drawingml/2006/main">
                  <a:graphicData uri="http://schemas.microsoft.com/office/word/2010/wordprocessingShape">
                    <wps:wsp>
                      <wps:cNvSpPr/>
                      <wps:spPr>
                        <a:xfrm>
                          <a:off x="0" y="0"/>
                          <a:ext cx="1863437" cy="796636"/>
                        </a:xfrm>
                        <a:prstGeom prst="roundRect">
                          <a:avLst/>
                        </a:prstGeom>
                        <a:ln w="12700">
                          <a:solidFill>
                            <a:schemeClr val="tx1">
                              <a:lumMod val="65000"/>
                              <a:lumOff val="35000"/>
                            </a:schemeClr>
                          </a:solidFill>
                        </a:ln>
                      </wps:spPr>
                      <wps:style>
                        <a:lnRef idx="3">
                          <a:schemeClr val="lt1"/>
                        </a:lnRef>
                        <a:fillRef idx="1">
                          <a:schemeClr val="accent5"/>
                        </a:fillRef>
                        <a:effectRef idx="1">
                          <a:schemeClr val="accent5"/>
                        </a:effectRef>
                        <a:fontRef idx="minor">
                          <a:schemeClr val="lt1"/>
                        </a:fontRef>
                      </wps:style>
                      <wps:txbx>
                        <w:txbxContent>
                          <w:p w14:paraId="47C5D6F7" w14:textId="77777777" w:rsidR="00B927AB" w:rsidRPr="00AC5CB9" w:rsidRDefault="00B927AB" w:rsidP="00B927AB">
                            <w:pPr>
                              <w:jc w:val="center"/>
                              <w:rPr>
                                <w:color w:val="FFFFFF"/>
                                <w:sz w:val="20"/>
                                <w:szCs w:val="20"/>
                              </w:rPr>
                            </w:pPr>
                            <w:r w:rsidRPr="00AC5CB9">
                              <w:rPr>
                                <w:color w:val="FFFFFF"/>
                                <w:sz w:val="20"/>
                                <w:szCs w:val="20"/>
                              </w:rPr>
                              <w:t xml:space="preserve">Transfer </w:t>
                            </w:r>
                            <w:proofErr w:type="spellStart"/>
                            <w:r w:rsidRPr="00AC5CB9">
                              <w:rPr>
                                <w:color w:val="FFFFFF"/>
                                <w:sz w:val="20"/>
                                <w:szCs w:val="20"/>
                              </w:rPr>
                              <w:t>PEC</w:t>
                            </w:r>
                            <w:r w:rsidRPr="00AC5CB9">
                              <w:rPr>
                                <w:color w:val="FFFFFF"/>
                                <w:sz w:val="20"/>
                                <w:szCs w:val="20"/>
                                <w:vertAlign w:val="subscript"/>
                              </w:rPr>
                              <w:t>regional</w:t>
                            </w:r>
                            <w:proofErr w:type="spellEnd"/>
                            <w:r w:rsidRPr="00AC5CB9">
                              <w:rPr>
                                <w:color w:val="FFFFFF"/>
                                <w:sz w:val="20"/>
                                <w:szCs w:val="20"/>
                              </w:rPr>
                              <w:t xml:space="preserve"> to </w:t>
                            </w:r>
                            <w:r>
                              <w:rPr>
                                <w:color w:val="FFFFFF"/>
                                <w:sz w:val="20"/>
                                <w:szCs w:val="20"/>
                              </w:rPr>
                              <w:t>CLE</w:t>
                            </w:r>
                            <w:r w:rsidRPr="00AC5CB9">
                              <w:rPr>
                                <w:color w:val="FFFFFF"/>
                                <w:sz w:val="20"/>
                                <w:szCs w:val="20"/>
                              </w:rPr>
                              <w:t xml:space="preserve"> LET for local assessment and calculate </w:t>
                            </w:r>
                            <w:proofErr w:type="spellStart"/>
                            <w:r w:rsidRPr="00AC5CB9">
                              <w:rPr>
                                <w:color w:val="FFFFFF"/>
                                <w:sz w:val="20"/>
                                <w:szCs w:val="20"/>
                              </w:rPr>
                              <w:t>PEC</w:t>
                            </w:r>
                            <w:r w:rsidRPr="00AC5CB9">
                              <w:rPr>
                                <w:color w:val="FFFFFF"/>
                                <w:sz w:val="20"/>
                                <w:szCs w:val="20"/>
                                <w:vertAlign w:val="subscript"/>
                              </w:rPr>
                              <w:t>local</w:t>
                            </w:r>
                            <w:proofErr w:type="spellEnd"/>
                            <w:r w:rsidRPr="00AC5CB9">
                              <w:rPr>
                                <w:color w:val="FFFFFF"/>
                                <w:sz w:val="20"/>
                                <w:szCs w:val="20"/>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2D75B" id="Rounded Rectangle 16" o:spid="_x0000_s1031" style="position:absolute;margin-left:147.85pt;margin-top:1.85pt;width:146.75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" fillcolor="#4bacc6 [3208]" strokecolor="#5a5a5a [2109]" strokeweight="1pt">
                <v:shadow on="t" color="black" opacity="22937f" origin=",.5" offset="0,.63889mm"/>
                <v:textbox inset="1mm,1mm,1mm,1mm">
                  <w:txbxContent>
                    <w:p w14:paraId="47C5D6F7" w14:textId="77777777" w:rsidR="00B927AB" w:rsidRPr="00AC5CB9" w:rsidRDefault="00B927AB" w:rsidP="00B927AB">
                      <w:pPr>
                        <w:jc w:val="center"/>
                        <w:rPr>
                          <w:color w:val="FFFFFF"/>
                          <w:sz w:val="20"/>
                          <w:szCs w:val="20"/>
                        </w:rPr>
                      </w:pPr>
                      <w:r w:rsidRPr="00AC5CB9">
                        <w:rPr>
                          <w:color w:val="FFFFFF"/>
                          <w:sz w:val="20"/>
                          <w:szCs w:val="20"/>
                        </w:rPr>
                        <w:t xml:space="preserve">Transfer </w:t>
                      </w:r>
                      <w:proofErr w:type="spellStart"/>
                      <w:r w:rsidRPr="00AC5CB9">
                        <w:rPr>
                          <w:color w:val="FFFFFF"/>
                          <w:sz w:val="20"/>
                          <w:szCs w:val="20"/>
                        </w:rPr>
                        <w:t>PEC</w:t>
                      </w:r>
                      <w:r w:rsidRPr="00AC5CB9">
                        <w:rPr>
                          <w:color w:val="FFFFFF"/>
                          <w:sz w:val="20"/>
                          <w:szCs w:val="20"/>
                          <w:vertAlign w:val="subscript"/>
                        </w:rPr>
                        <w:t>regional</w:t>
                      </w:r>
                      <w:proofErr w:type="spellEnd"/>
                      <w:r w:rsidRPr="00AC5CB9">
                        <w:rPr>
                          <w:color w:val="FFFFFF"/>
                          <w:sz w:val="20"/>
                          <w:szCs w:val="20"/>
                        </w:rPr>
                        <w:t xml:space="preserve"> to </w:t>
                      </w:r>
                      <w:r>
                        <w:rPr>
                          <w:color w:val="FFFFFF"/>
                          <w:sz w:val="20"/>
                          <w:szCs w:val="20"/>
                        </w:rPr>
                        <w:t>CLE</w:t>
                      </w:r>
                      <w:r w:rsidRPr="00AC5CB9">
                        <w:rPr>
                          <w:color w:val="FFFFFF"/>
                          <w:sz w:val="20"/>
                          <w:szCs w:val="20"/>
                        </w:rPr>
                        <w:t xml:space="preserve"> LET for local assessment and calculate </w:t>
                      </w:r>
                      <w:proofErr w:type="spellStart"/>
                      <w:r w:rsidRPr="00AC5CB9">
                        <w:rPr>
                          <w:color w:val="FFFFFF"/>
                          <w:sz w:val="20"/>
                          <w:szCs w:val="20"/>
                        </w:rPr>
                        <w:t>PEC</w:t>
                      </w:r>
                      <w:r w:rsidRPr="00AC5CB9">
                        <w:rPr>
                          <w:color w:val="FFFFFF"/>
                          <w:sz w:val="20"/>
                          <w:szCs w:val="20"/>
                          <w:vertAlign w:val="subscript"/>
                        </w:rPr>
                        <w:t>local</w:t>
                      </w:r>
                      <w:proofErr w:type="spellEnd"/>
                      <w:r w:rsidRPr="00AC5CB9">
                        <w:rPr>
                          <w:color w:val="FFFFFF"/>
                          <w:sz w:val="20"/>
                          <w:szCs w:val="20"/>
                        </w:rPr>
                        <w:t xml:space="preserve"> </w:t>
                      </w:r>
                    </w:p>
                  </w:txbxContent>
                </v:textbox>
              </v:roundrect>
            </w:pict>
          </mc:Fallback>
        </mc:AlternateContent>
      </w:r>
    </w:p>
    <w:p w14:paraId="1EB19942" w14:textId="77777777" w:rsidR="00B927AB" w:rsidRDefault="00B927AB" w:rsidP="00B927AB"/>
    <w:p w14:paraId="1E5146D4" w14:textId="77777777" w:rsidR="00B927AB" w:rsidRDefault="00B927AB" w:rsidP="00B927AB"/>
    <w:p w14:paraId="2F17024B" w14:textId="77777777" w:rsidR="00B927AB" w:rsidRDefault="00B927AB" w:rsidP="00B927AB"/>
    <w:p w14:paraId="20BFB178" w14:textId="77777777" w:rsidR="00B927AB" w:rsidRDefault="00B927AB" w:rsidP="00B927AB"/>
    <w:p w14:paraId="7508013D" w14:textId="77777777" w:rsidR="00B927AB" w:rsidRDefault="00B927AB" w:rsidP="00B927AB"/>
    <w:p w14:paraId="4F246749" w14:textId="77777777" w:rsidR="00B927AB" w:rsidRDefault="00B927AB" w:rsidP="00B927AB"/>
    <w:p w14:paraId="429B4B8A" w14:textId="77777777" w:rsidR="00B927AB" w:rsidRDefault="00B927AB" w:rsidP="00B927AB">
      <w:r>
        <w:t>It is anticipated that the assessor calculates the regional environmental concentrations (</w:t>
      </w:r>
      <w:proofErr w:type="spellStart"/>
      <w:r>
        <w:t>PEC</w:t>
      </w:r>
      <w:r w:rsidRPr="00EC2AE2">
        <w:rPr>
          <w:vertAlign w:val="subscript"/>
        </w:rPr>
        <w:t>regional</w:t>
      </w:r>
      <w:proofErr w:type="spellEnd"/>
      <w:r>
        <w:t>) in a suitable tool (</w:t>
      </w:r>
      <w:proofErr w:type="gramStart"/>
      <w:r>
        <w:t>e.g.</w:t>
      </w:r>
      <w:proofErr w:type="gramEnd"/>
      <w:r>
        <w:t xml:space="preserve"> EUSES, ECETOC TRA, CHESAR), by using the CLE </w:t>
      </w:r>
      <w:proofErr w:type="spellStart"/>
      <w:r>
        <w:t>SpERCs</w:t>
      </w:r>
      <w:proofErr w:type="spellEnd"/>
      <w:r>
        <w:t xml:space="preserve"> and associated release factors. The calculated </w:t>
      </w:r>
      <w:proofErr w:type="spellStart"/>
      <w:r>
        <w:t>PEC</w:t>
      </w:r>
      <w:r w:rsidRPr="00EC2AE2">
        <w:rPr>
          <w:vertAlign w:val="subscript"/>
        </w:rPr>
        <w:t>regional</w:t>
      </w:r>
      <w:proofErr w:type="spellEnd"/>
      <w:r>
        <w:t xml:space="preserve"> are then transferred into the CLE LET and used as the regional background concentrations in the calculation of the local predicted environmental concentrations (</w:t>
      </w:r>
      <w:proofErr w:type="spellStart"/>
      <w:r>
        <w:t>PEC</w:t>
      </w:r>
      <w:r w:rsidRPr="00EC2AE2">
        <w:rPr>
          <w:vertAlign w:val="subscript"/>
        </w:rPr>
        <w:t>local</w:t>
      </w:r>
      <w:proofErr w:type="spellEnd"/>
      <w:r>
        <w:t xml:space="preserve">). The LET also calculates the safe co-formulant application rate (in kg/ha). The outputs of the CLE LET, </w:t>
      </w:r>
      <w:proofErr w:type="gramStart"/>
      <w:r>
        <w:t>i.e.</w:t>
      </w:r>
      <w:proofErr w:type="gramEnd"/>
      <w:r>
        <w:t xml:space="preserve"> safe co-formulant application rate, </w:t>
      </w:r>
      <w:proofErr w:type="spellStart"/>
      <w:r>
        <w:t>PEC</w:t>
      </w:r>
      <w:r w:rsidRPr="005F7627">
        <w:rPr>
          <w:vertAlign w:val="subscript"/>
        </w:rPr>
        <w:t>local</w:t>
      </w:r>
      <w:proofErr w:type="spellEnd"/>
      <w:r>
        <w:t xml:space="preserve"> and conditions of use, </w:t>
      </w:r>
      <w:r>
        <w:lastRenderedPageBreak/>
        <w:t>are then transferred to the respective contributing scenarios in the CSR. The safe co-formulant application rate (in kg/ha) should be communicated in the supply chain as the safe condition of use on the co-formulant extended Safety Data Sheet (</w:t>
      </w:r>
      <w:proofErr w:type="spellStart"/>
      <w:r>
        <w:t>eSDS</w:t>
      </w:r>
      <w:proofErr w:type="spellEnd"/>
      <w:r>
        <w:t>).</w:t>
      </w:r>
    </w:p>
    <w:p w14:paraId="5AADB5D0" w14:textId="77777777" w:rsidR="00B927AB" w:rsidRDefault="00B927AB" w:rsidP="00B927AB"/>
    <w:p w14:paraId="5524CDBE" w14:textId="77777777" w:rsidR="00B927AB" w:rsidRDefault="00B927AB" w:rsidP="00B927AB">
      <w:r>
        <w:t>CLE created a use map file in version 3.6 of the</w:t>
      </w:r>
      <w:r w:rsidRPr="009913E3">
        <w:t xml:space="preserve"> </w:t>
      </w:r>
      <w:r>
        <w:t xml:space="preserve">CHESAR tool, which contains the CLE Generic Exposure Scenarios and the CLE </w:t>
      </w:r>
      <w:proofErr w:type="spellStart"/>
      <w:r>
        <w:t>SpERCs</w:t>
      </w:r>
      <w:proofErr w:type="spellEnd"/>
      <w:r>
        <w:t>. The use map file is available on the dedicated CLE webpage (</w:t>
      </w:r>
      <w:hyperlink r:id="rId10" w:history="1">
        <w:r w:rsidRPr="00E16CA6">
          <w:rPr>
            <w:rStyle w:val="Hyperlink"/>
          </w:rPr>
          <w:t>https://croplifeeurope.eu/pre-market-resources/reach-in-registration-evaluation-authorisation-and-restriction-of-chemicals/</w:t>
        </w:r>
      </w:hyperlink>
      <w:r>
        <w:t>) and also in the use map library on the ECHA webpage (</w:t>
      </w:r>
      <w:hyperlink r:id="rId11" w:history="1">
        <w:r w:rsidRPr="00557DC7">
          <w:rPr>
            <w:rStyle w:val="Hyperlink"/>
          </w:rPr>
          <w:t>https://echa.europa.eu/csr-es-roadmap/use-maps/use-maps-library</w:t>
        </w:r>
      </w:hyperlink>
      <w:r>
        <w:t xml:space="preserve">). The CLE use map file can be uploaded in box 2 of a substance file in CHESAR. The respective substance file should also contain all other identified uses of the substance, to perform the </w:t>
      </w:r>
      <w:r w:rsidRPr="006874F6">
        <w:t xml:space="preserve">regional scale </w:t>
      </w:r>
      <w:r>
        <w:t xml:space="preserve">environmental </w:t>
      </w:r>
      <w:r w:rsidRPr="006874F6">
        <w:t>assessments</w:t>
      </w:r>
      <w:r>
        <w:t xml:space="preserve"> and calculate </w:t>
      </w:r>
      <w:proofErr w:type="spellStart"/>
      <w:r>
        <w:t>PEC</w:t>
      </w:r>
      <w:r w:rsidRPr="00C964AE">
        <w:rPr>
          <w:vertAlign w:val="subscript"/>
        </w:rPr>
        <w:t>regional</w:t>
      </w:r>
      <w:proofErr w:type="spellEnd"/>
      <w:r>
        <w:t xml:space="preserve">. The CHESAR tool can be used to generate the exposure scenarios and/or the complete CSR. The calculated </w:t>
      </w:r>
      <w:proofErr w:type="spellStart"/>
      <w:r>
        <w:t>PEC</w:t>
      </w:r>
      <w:r w:rsidRPr="00C964AE">
        <w:rPr>
          <w:vertAlign w:val="subscript"/>
        </w:rPr>
        <w:t>regional</w:t>
      </w:r>
      <w:proofErr w:type="spellEnd"/>
      <w:r>
        <w:t xml:space="preserve"> from CHESAR are transferred into the CLE LET and used as the regional background concentrations in the calculation of the </w:t>
      </w:r>
      <w:proofErr w:type="spellStart"/>
      <w:r>
        <w:t>PEC</w:t>
      </w:r>
      <w:r w:rsidRPr="00EC2AE2">
        <w:rPr>
          <w:vertAlign w:val="subscript"/>
        </w:rPr>
        <w:t>local</w:t>
      </w:r>
      <w:proofErr w:type="spellEnd"/>
      <w:r>
        <w:t xml:space="preserve"> for the co-formulant use of the substance. The outputs of the CLE LET are then transferred to the respective contributing scenarios in the CSR, by overwriting the co-formulant use scenario created with CHESAR. The safe co-formulant application rate (in kg/ha) should be communicated in the supply chain as the safe condition of use on the co-formulant extended Safety Data Sheet (</w:t>
      </w:r>
      <w:proofErr w:type="spellStart"/>
      <w:r>
        <w:t>eSDS</w:t>
      </w:r>
      <w:proofErr w:type="spellEnd"/>
      <w:r>
        <w:t>).</w:t>
      </w:r>
    </w:p>
    <w:p w14:paraId="7FF5E26A" w14:textId="77777777" w:rsidR="00B927AB" w:rsidRDefault="00B927AB" w:rsidP="00B927AB"/>
    <w:p w14:paraId="16FBE808" w14:textId="77777777" w:rsidR="00B927AB" w:rsidRDefault="00B927AB" w:rsidP="00B927AB"/>
    <w:p w14:paraId="5901478F" w14:textId="77777777" w:rsidR="00B927AB" w:rsidRDefault="00B927AB" w:rsidP="00B927AB"/>
    <w:p w14:paraId="21230BD2" w14:textId="77777777" w:rsidR="00B927AB" w:rsidRDefault="00B927AB" w:rsidP="00B927AB"/>
    <w:p w14:paraId="58894D15" w14:textId="77777777" w:rsidR="00B927AB" w:rsidRDefault="00B927AB" w:rsidP="00B927AB"/>
    <w:p w14:paraId="265EF7A5" w14:textId="77777777" w:rsidR="00B927AB" w:rsidRDefault="00B927AB" w:rsidP="00B927AB"/>
    <w:p w14:paraId="244F46B1" w14:textId="77777777" w:rsidR="00B927AB" w:rsidRDefault="00B927AB" w:rsidP="00B927AB"/>
    <w:p w14:paraId="1057AE4C" w14:textId="77777777" w:rsidR="00B927AB" w:rsidRDefault="00B927AB" w:rsidP="00B927AB">
      <w:r w:rsidRPr="008E5185">
        <w:rPr>
          <w:b/>
          <w:bCs/>
        </w:rPr>
        <w:t>Further reference</w:t>
      </w:r>
      <w:r>
        <w:t>:</w:t>
      </w:r>
    </w:p>
    <w:p w14:paraId="0EC663B7" w14:textId="77777777" w:rsidR="00B927AB" w:rsidRDefault="00B927AB" w:rsidP="00B927AB">
      <w:proofErr w:type="spellStart"/>
      <w:r>
        <w:t>Dobe</w:t>
      </w:r>
      <w:proofErr w:type="spellEnd"/>
      <w:r>
        <w:t xml:space="preserve"> et al. 2020, REACH Specific Environmental Release Categories for plant protection product applications. </w:t>
      </w:r>
      <w:r w:rsidRPr="00837CDC">
        <w:rPr>
          <w:i/>
          <w:iCs/>
        </w:rPr>
        <w:t>Integrated Environmental Assessment and Management</w:t>
      </w:r>
      <w:r>
        <w:t>, DOI:10.1002/ieam.4251</w:t>
      </w:r>
    </w:p>
    <w:p w14:paraId="6BEC2F9B" w14:textId="77777777" w:rsidR="00B927AB" w:rsidRDefault="00B927AB" w:rsidP="00B927AB">
      <w:proofErr w:type="spellStart"/>
      <w:r>
        <w:t>Dobe</w:t>
      </w:r>
      <w:proofErr w:type="spellEnd"/>
      <w:r>
        <w:t xml:space="preserve"> et al. 2017, Development of REACH Generic Exposure Scenarios for substances used as </w:t>
      </w:r>
      <w:proofErr w:type="spellStart"/>
      <w:r>
        <w:t>coformulants</w:t>
      </w:r>
      <w:proofErr w:type="spellEnd"/>
      <w:r>
        <w:t xml:space="preserve"> in plant protection products. </w:t>
      </w:r>
      <w:r w:rsidRPr="00837CDC">
        <w:rPr>
          <w:i/>
          <w:iCs/>
        </w:rPr>
        <w:t>Risk Analysis</w:t>
      </w:r>
      <w:r>
        <w:t xml:space="preserve"> 37(5), 930-942, DOI:10.1111/risa.12666</w:t>
      </w:r>
    </w:p>
    <w:p w14:paraId="5EEB3C20" w14:textId="77777777" w:rsidR="00B927AB" w:rsidRDefault="00B927AB" w:rsidP="00B927AB"/>
    <w:p w14:paraId="555B839A" w14:textId="7446A581" w:rsidR="00F934F4" w:rsidRPr="00B927AB" w:rsidRDefault="00F934F4" w:rsidP="00B927AB">
      <w:pPr>
        <w:pStyle w:val="EPCABodyText"/>
      </w:pPr>
    </w:p>
    <w:p w14:paraId="32D4871C" w14:textId="1ADE5F25" w:rsidR="00F934F4" w:rsidRDefault="00F934F4">
      <w:pPr>
        <w:pStyle w:val="EPCABodyText"/>
      </w:pPr>
    </w:p>
    <w:p w14:paraId="5FF4D133" w14:textId="4E0A8BA9" w:rsidR="000A2479" w:rsidRPr="000A2479" w:rsidRDefault="000A2479" w:rsidP="000A2479">
      <w:pPr>
        <w:rPr>
          <w:lang w:eastAsia="en-GB"/>
        </w:rPr>
      </w:pPr>
    </w:p>
    <w:p w14:paraId="059CAF16" w14:textId="66F5868D" w:rsidR="000A2479" w:rsidRPr="000A2479" w:rsidRDefault="000A2479" w:rsidP="000A2479">
      <w:pPr>
        <w:rPr>
          <w:lang w:eastAsia="en-GB"/>
        </w:rPr>
      </w:pPr>
    </w:p>
    <w:p w14:paraId="7437CBD3" w14:textId="1B93607B" w:rsidR="000A2479" w:rsidRPr="000A2479" w:rsidRDefault="000A2479" w:rsidP="000A2479">
      <w:pPr>
        <w:rPr>
          <w:lang w:eastAsia="en-GB"/>
        </w:rPr>
      </w:pPr>
    </w:p>
    <w:p w14:paraId="7FE907DA" w14:textId="29DF26BD" w:rsidR="000A2479" w:rsidRPr="000A2479" w:rsidRDefault="000A2479" w:rsidP="000A2479">
      <w:pPr>
        <w:rPr>
          <w:lang w:eastAsia="en-GB"/>
        </w:rPr>
      </w:pPr>
    </w:p>
    <w:p w14:paraId="70DDF3E7" w14:textId="0DE2DD8E" w:rsidR="000A2479" w:rsidRPr="000A2479" w:rsidRDefault="000A2479" w:rsidP="000A2479">
      <w:pPr>
        <w:rPr>
          <w:lang w:eastAsia="en-GB"/>
        </w:rPr>
      </w:pPr>
    </w:p>
    <w:p w14:paraId="535A5525" w14:textId="4B814DFF" w:rsidR="000A2479" w:rsidRPr="000A2479" w:rsidRDefault="000A2479" w:rsidP="000A2479">
      <w:pPr>
        <w:rPr>
          <w:lang w:eastAsia="en-GB"/>
        </w:rPr>
      </w:pPr>
    </w:p>
    <w:p w14:paraId="3A9A1C82" w14:textId="45447E25" w:rsidR="000A2479" w:rsidRPr="000A2479" w:rsidRDefault="000A2479" w:rsidP="000A2479">
      <w:pPr>
        <w:rPr>
          <w:lang w:eastAsia="en-GB"/>
        </w:rPr>
      </w:pPr>
    </w:p>
    <w:p w14:paraId="6FA81FE4" w14:textId="1FDC4E7D" w:rsidR="000A2479" w:rsidRPr="000A2479" w:rsidRDefault="000A2479" w:rsidP="000A2479">
      <w:pPr>
        <w:rPr>
          <w:lang w:eastAsia="en-GB"/>
        </w:rPr>
      </w:pPr>
    </w:p>
    <w:p w14:paraId="61BBD12C" w14:textId="7D5474EC" w:rsidR="000A2479" w:rsidRPr="000A2479" w:rsidRDefault="000A2479" w:rsidP="000A2479">
      <w:pPr>
        <w:rPr>
          <w:lang w:eastAsia="en-GB"/>
        </w:rPr>
      </w:pPr>
    </w:p>
    <w:p w14:paraId="2C16902D" w14:textId="78A5CD5C" w:rsidR="000A2479" w:rsidRPr="000A2479" w:rsidRDefault="000A2479" w:rsidP="000A2479">
      <w:pPr>
        <w:rPr>
          <w:lang w:eastAsia="en-GB"/>
        </w:rPr>
      </w:pPr>
    </w:p>
    <w:p w14:paraId="0BC43969" w14:textId="01DB35B5" w:rsidR="000A2479" w:rsidRPr="000A2479" w:rsidRDefault="000A2479" w:rsidP="000A2479">
      <w:pPr>
        <w:rPr>
          <w:lang w:eastAsia="en-GB"/>
        </w:rPr>
      </w:pPr>
    </w:p>
    <w:p w14:paraId="51A81BF2" w14:textId="3944FFCA" w:rsidR="000A2479" w:rsidRPr="000A2479" w:rsidRDefault="000A2479" w:rsidP="000A2479">
      <w:pPr>
        <w:rPr>
          <w:lang w:eastAsia="en-GB"/>
        </w:rPr>
      </w:pPr>
    </w:p>
    <w:p w14:paraId="2715AFF1" w14:textId="060B75F0" w:rsidR="000A2479" w:rsidRPr="000A2479" w:rsidRDefault="000A2479" w:rsidP="000A2479">
      <w:pPr>
        <w:rPr>
          <w:lang w:eastAsia="en-GB"/>
        </w:rPr>
      </w:pPr>
    </w:p>
    <w:p w14:paraId="00B8334F" w14:textId="35951D3D" w:rsidR="000A2479" w:rsidRPr="000A2479" w:rsidRDefault="000A2479" w:rsidP="000A2479">
      <w:pPr>
        <w:rPr>
          <w:lang w:eastAsia="en-GB"/>
        </w:rPr>
      </w:pPr>
    </w:p>
    <w:p w14:paraId="348F8833" w14:textId="0168E612" w:rsidR="000A2479" w:rsidRPr="000A2479" w:rsidRDefault="000A2479" w:rsidP="000A2479">
      <w:pPr>
        <w:rPr>
          <w:lang w:eastAsia="en-GB"/>
        </w:rPr>
      </w:pPr>
    </w:p>
    <w:p w14:paraId="304EF657" w14:textId="604D2B1E" w:rsidR="000A2479" w:rsidRPr="000A2479" w:rsidRDefault="000A2479" w:rsidP="000A2479">
      <w:pPr>
        <w:rPr>
          <w:lang w:eastAsia="en-GB"/>
        </w:rPr>
      </w:pPr>
    </w:p>
    <w:p w14:paraId="0B7BF621" w14:textId="2D9E1214" w:rsidR="000A2479" w:rsidRPr="000A2479" w:rsidRDefault="000A2479" w:rsidP="000A2479">
      <w:pPr>
        <w:rPr>
          <w:lang w:eastAsia="en-GB"/>
        </w:rPr>
      </w:pPr>
    </w:p>
    <w:p w14:paraId="242844B0" w14:textId="37DFC8FD" w:rsidR="000A2479" w:rsidRPr="000A2479" w:rsidRDefault="000A2479" w:rsidP="000A2479">
      <w:pPr>
        <w:rPr>
          <w:lang w:eastAsia="en-GB"/>
        </w:rPr>
      </w:pPr>
    </w:p>
    <w:p w14:paraId="22A80100" w14:textId="223B27C8" w:rsidR="000A2479" w:rsidRPr="000A2479" w:rsidRDefault="000A2479" w:rsidP="000A2479">
      <w:pPr>
        <w:tabs>
          <w:tab w:val="left" w:pos="8349"/>
        </w:tabs>
        <w:rPr>
          <w:lang w:eastAsia="en-GB"/>
        </w:rPr>
      </w:pPr>
      <w:r>
        <w:rPr>
          <w:lang w:eastAsia="en-GB"/>
        </w:rPr>
        <w:tab/>
      </w:r>
    </w:p>
    <w:sectPr w:rsidR="000A2479" w:rsidRPr="000A2479">
      <w:headerReference w:type="even" r:id="rId12"/>
      <w:headerReference w:type="default" r:id="rId13"/>
      <w:footerReference w:type="even" r:id="rId14"/>
      <w:footerReference w:type="default" r:id="rId15"/>
      <w:headerReference w:type="first" r:id="rId16"/>
      <w:footerReference w:type="first" r:id="rId17"/>
      <w:pgSz w:w="11900" w:h="16840"/>
      <w:pgMar w:top="0"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177B" w14:textId="77777777" w:rsidR="008D68AF" w:rsidRDefault="008D68AF">
      <w:r>
        <w:separator/>
      </w:r>
    </w:p>
  </w:endnote>
  <w:endnote w:type="continuationSeparator" w:id="0">
    <w:p w14:paraId="1F63523B" w14:textId="77777777" w:rsidR="008D68AF" w:rsidRDefault="008D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C2F3" w14:textId="77777777" w:rsidR="003C5B26" w:rsidRDefault="003C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55A0" w14:textId="21D8BAC4" w:rsidR="00F934F4" w:rsidRDefault="002A0946" w:rsidP="000A2479">
    <w:pPr>
      <w:pStyle w:val="Footer"/>
      <w:tabs>
        <w:tab w:val="clear" w:pos="9360"/>
        <w:tab w:val="right" w:pos="9498"/>
      </w:tabs>
    </w:pPr>
    <w:r>
      <w:rPr>
        <w:rStyle w:val="Aucune"/>
      </w:rPr>
      <w:t>SpERCs - Specific Environmental Release Categories</w:t>
    </w:r>
    <w:r w:rsidR="000A2479">
      <w:rPr>
        <w:rStyle w:val="Aucune"/>
      </w:rPr>
      <w:t xml:space="preserve"> </w:t>
    </w:r>
    <w:r w:rsidR="000A2479">
      <w:rPr>
        <w:rStyle w:val="Aucune"/>
      </w:rPr>
      <w:tab/>
    </w:r>
    <w:r>
      <w:rPr>
        <w:rStyle w:val="Aucune"/>
      </w:rPr>
      <w:tab/>
    </w:r>
    <w:r>
      <w:rPr>
        <w:rStyle w:val="Aucune"/>
        <w:rFonts w:ascii="Arial" w:eastAsia="Arial" w:hAnsi="Arial" w:cs="Arial"/>
        <w:b/>
        <w:bCs/>
        <w:sz w:val="18"/>
        <w:szCs w:val="18"/>
      </w:rPr>
      <w:fldChar w:fldCharType="begin"/>
    </w:r>
    <w:r>
      <w:rPr>
        <w:rStyle w:val="Aucune"/>
        <w:rFonts w:ascii="Arial" w:eastAsia="Arial" w:hAnsi="Arial" w:cs="Arial"/>
        <w:b/>
        <w:bCs/>
        <w:sz w:val="18"/>
        <w:szCs w:val="18"/>
      </w:rPr>
      <w:instrText xml:space="preserve"> PAGE </w:instrText>
    </w:r>
    <w:r>
      <w:rPr>
        <w:rStyle w:val="Aucune"/>
        <w:rFonts w:ascii="Arial" w:eastAsia="Arial" w:hAnsi="Arial" w:cs="Arial"/>
        <w:b/>
        <w:bCs/>
        <w:sz w:val="18"/>
        <w:szCs w:val="18"/>
      </w:rPr>
      <w:fldChar w:fldCharType="separate"/>
    </w:r>
    <w:r w:rsidR="000A2479">
      <w:rPr>
        <w:rStyle w:val="Aucune"/>
        <w:rFonts w:ascii="Arial" w:eastAsia="Arial" w:hAnsi="Arial" w:cs="Arial"/>
        <w:b/>
        <w:bCs/>
        <w:noProof/>
        <w:sz w:val="18"/>
        <w:szCs w:val="18"/>
      </w:rPr>
      <w:t>2</w:t>
    </w:r>
    <w:r>
      <w:rPr>
        <w:rStyle w:val="Aucune"/>
        <w:rFonts w:ascii="Arial" w:eastAsia="Arial" w:hAnsi="Arial" w:cs="Arial"/>
        <w:b/>
        <w:bCs/>
        <w:sz w:val="18"/>
        <w:szCs w:val="18"/>
      </w:rPr>
      <w:fldChar w:fldCharType="end"/>
    </w:r>
    <w:r>
      <w:rPr>
        <w:rStyle w:val="Aucune"/>
        <w:rFonts w:ascii="Arial" w:hAnsi="Arial"/>
        <w:sz w:val="18"/>
        <w:szCs w:val="18"/>
      </w:rPr>
      <w:t xml:space="preserve"> / </w:t>
    </w:r>
    <w:r>
      <w:rPr>
        <w:rStyle w:val="Aucune"/>
        <w:rFonts w:ascii="Arial" w:eastAsia="Arial" w:hAnsi="Arial" w:cs="Arial"/>
        <w:b/>
        <w:bCs/>
        <w:sz w:val="18"/>
        <w:szCs w:val="18"/>
      </w:rPr>
      <w:fldChar w:fldCharType="begin"/>
    </w:r>
    <w:r>
      <w:rPr>
        <w:rStyle w:val="Aucune"/>
        <w:rFonts w:ascii="Arial" w:eastAsia="Arial" w:hAnsi="Arial" w:cs="Arial"/>
        <w:b/>
        <w:bCs/>
        <w:sz w:val="18"/>
        <w:szCs w:val="18"/>
      </w:rPr>
      <w:instrText xml:space="preserve"> NUMPAGES </w:instrText>
    </w:r>
    <w:r>
      <w:rPr>
        <w:rStyle w:val="Aucune"/>
        <w:rFonts w:ascii="Arial" w:eastAsia="Arial" w:hAnsi="Arial" w:cs="Arial"/>
        <w:b/>
        <w:bCs/>
        <w:sz w:val="18"/>
        <w:szCs w:val="18"/>
      </w:rPr>
      <w:fldChar w:fldCharType="separate"/>
    </w:r>
    <w:r w:rsidR="000A2479">
      <w:rPr>
        <w:rStyle w:val="Aucune"/>
        <w:rFonts w:ascii="Arial" w:eastAsia="Arial" w:hAnsi="Arial" w:cs="Arial"/>
        <w:b/>
        <w:bCs/>
        <w:noProof/>
        <w:sz w:val="18"/>
        <w:szCs w:val="18"/>
      </w:rPr>
      <w:t>2</w:t>
    </w:r>
    <w:r>
      <w:rPr>
        <w:rStyle w:val="Aucune"/>
        <w:rFonts w:ascii="Arial" w:eastAsia="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63D8" w14:textId="53882DE4" w:rsidR="000A2479" w:rsidRPr="003C5B26" w:rsidRDefault="00936F06">
    <w:pPr>
      <w:pStyle w:val="Footer"/>
      <w:tabs>
        <w:tab w:val="clear" w:pos="4680"/>
        <w:tab w:val="clear" w:pos="9360"/>
      </w:tabs>
      <w:jc w:val="center"/>
      <w:rPr>
        <w:rStyle w:val="Aucune"/>
        <w:rFonts w:ascii="Arial" w:hAnsi="Arial"/>
        <w:sz w:val="18"/>
        <w:szCs w:val="18"/>
      </w:rPr>
    </w:pPr>
    <w:r w:rsidRPr="00936F06">
      <w:rPr>
        <w:rStyle w:val="Aucune"/>
        <w:rFonts w:ascii="Arial" w:hAnsi="Arial"/>
        <w:sz w:val="18"/>
        <w:szCs w:val="18"/>
      </w:rPr>
      <w:t xml:space="preserve">CropLife Europe </w:t>
    </w:r>
    <w:proofErr w:type="spellStart"/>
    <w:r w:rsidRPr="00936F06">
      <w:rPr>
        <w:rStyle w:val="Aucune"/>
        <w:rFonts w:ascii="Arial" w:hAnsi="Arial"/>
        <w:sz w:val="18"/>
        <w:szCs w:val="18"/>
      </w:rPr>
      <w:t>aisbl</w:t>
    </w:r>
    <w:proofErr w:type="spellEnd"/>
    <w:r w:rsidRPr="00936F06">
      <w:rPr>
        <w:rStyle w:val="Aucune"/>
        <w:rFonts w:ascii="Arial" w:hAnsi="Arial"/>
        <w:sz w:val="18"/>
        <w:szCs w:val="18"/>
      </w:rPr>
      <w:t xml:space="preserve"> </w:t>
    </w:r>
    <w:r w:rsidR="002A0946">
      <w:rPr>
        <w:rStyle w:val="Aucune"/>
        <w:rFonts w:ascii="Arial" w:hAnsi="Arial"/>
        <w:sz w:val="18"/>
        <w:szCs w:val="18"/>
      </w:rPr>
      <w:t xml:space="preserve">| 9 Rue Guimard | 1040 Brussels | Belgium | </w:t>
    </w:r>
    <w:r w:rsidR="002A0946" w:rsidRPr="003C5B26">
      <w:rPr>
        <w:rStyle w:val="Aucune"/>
        <w:rFonts w:ascii="Arial" w:hAnsi="Arial"/>
        <w:sz w:val="18"/>
        <w:szCs w:val="18"/>
      </w:rPr>
      <w:t xml:space="preserve">BE 0447 618 871 Register of Legal Persons </w:t>
    </w:r>
  </w:p>
  <w:p w14:paraId="2D88C430" w14:textId="131A1D1B" w:rsidR="00F934F4" w:rsidRDefault="002A0946">
    <w:pPr>
      <w:pStyle w:val="Footer"/>
      <w:tabs>
        <w:tab w:val="clear" w:pos="4680"/>
        <w:tab w:val="clear" w:pos="9360"/>
      </w:tabs>
      <w:jc w:val="center"/>
    </w:pPr>
    <w:r w:rsidRPr="003C5B26">
      <w:rPr>
        <w:rStyle w:val="Aucune"/>
        <w:rFonts w:ascii="Arial" w:hAnsi="Arial"/>
        <w:sz w:val="18"/>
        <w:szCs w:val="18"/>
      </w:rPr>
      <w:t xml:space="preserve">Francophone Section of the Business Court of Brussels | </w:t>
    </w:r>
    <w:r w:rsidR="00936F06" w:rsidRPr="00936F06">
      <w:rPr>
        <w:rStyle w:val="Aucune"/>
        <w:rFonts w:ascii="Arial" w:hAnsi="Arial"/>
        <w:sz w:val="18"/>
        <w:szCs w:val="18"/>
      </w:rPr>
      <w:t>croplifeeurope@croplifeeurope.</w:t>
    </w:r>
    <w:r w:rsidR="004B1EBB">
      <w:rPr>
        <w:rStyle w:val="Aucune"/>
        <w:rFonts w:ascii="Arial" w:hAnsi="Arial"/>
        <w:sz w:val="18"/>
        <w:szCs w:val="18"/>
      </w:rPr>
      <w:t>eu</w:t>
    </w:r>
    <w:r w:rsidR="00936F06" w:rsidRPr="00936F06">
      <w:rPr>
        <w:rStyle w:val="Aucune"/>
        <w:rFonts w:ascii="Arial" w:hAnsi="Arial"/>
        <w:sz w:val="18"/>
        <w:szCs w:val="18"/>
      </w:rPr>
      <w:t xml:space="preserve"> | www.croplifeeurope.</w:t>
    </w:r>
    <w:r w:rsidR="004B1EBB">
      <w:rPr>
        <w:rStyle w:val="Aucune"/>
        <w:rFonts w:ascii="Arial" w:hAnsi="Arial"/>
        <w:sz w:val="18"/>
        <w:szCs w:val="18"/>
      </w:rPr>
      <w:t>eu</w:t>
    </w:r>
    <w:r w:rsidR="00936F06" w:rsidRPr="00936F06">
      <w:rPr>
        <w:rStyle w:val="Aucune"/>
        <w:rFonts w:ascii="Arial" w:hAnsi="Arial"/>
        <w:sz w:val="18"/>
        <w:szCs w:val="18"/>
      </w:rPr>
      <w:t xml:space="preserve"> </w:t>
    </w:r>
    <w:r>
      <w:rPr>
        <w:rStyle w:val="Aucune"/>
        <w:rFonts w:ascii="Arial" w:hAnsi="Arial"/>
        <w:sz w:val="18"/>
        <w:szCs w:val="18"/>
      </w:rPr>
      <w:t>Tel: +32 2 663 15 50 | Fax: +32 2 663 15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F7C1" w14:textId="77777777" w:rsidR="008D68AF" w:rsidRDefault="008D68AF">
      <w:r>
        <w:separator/>
      </w:r>
    </w:p>
  </w:footnote>
  <w:footnote w:type="continuationSeparator" w:id="0">
    <w:p w14:paraId="4D329392" w14:textId="77777777" w:rsidR="008D68AF" w:rsidRDefault="008D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757C" w14:textId="77777777" w:rsidR="003C5B26" w:rsidRDefault="003C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A529" w14:textId="3208CC6D" w:rsidR="00F934F4" w:rsidRDefault="002A0946" w:rsidP="00ED752B">
    <w:pPr>
      <w:pStyle w:val="EPCAFooter"/>
      <w:tabs>
        <w:tab w:val="right" w:pos="9498"/>
      </w:tabs>
    </w:pPr>
    <w:r>
      <w:rPr>
        <w:rStyle w:val="Aucune"/>
      </w:rPr>
      <w:t>BRI/21/KH/34804</w:t>
    </w:r>
    <w:r w:rsidR="00ED752B">
      <w:rPr>
        <w:rStyle w:val="Aucune"/>
      </w:rPr>
      <w:tab/>
    </w:r>
    <w:r>
      <w:rPr>
        <w:rStyle w:val="Aucune"/>
      </w:rPr>
      <w:t>14/12/2021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99F9" w14:textId="77777777" w:rsidR="00F934F4" w:rsidRDefault="002A0946">
    <w:pPr>
      <w:pStyle w:val="Header"/>
    </w:pPr>
    <w:r>
      <w:rPr>
        <w:noProof/>
      </w:rPr>
      <w:drawing>
        <wp:anchor distT="152400" distB="152400" distL="152400" distR="152400" simplePos="0" relativeHeight="251658240" behindDoc="1" locked="0" layoutInCell="1" allowOverlap="1" wp14:anchorId="61D0F4C2" wp14:editId="5CD13A4E">
          <wp:simplePos x="0" y="0"/>
          <wp:positionH relativeFrom="page">
            <wp:posOffset>429370</wp:posOffset>
          </wp:positionH>
          <wp:positionV relativeFrom="page">
            <wp:posOffset>445134</wp:posOffset>
          </wp:positionV>
          <wp:extent cx="1729105" cy="77809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9105" cy="778097"/>
                  </a:xfrm>
                  <a:prstGeom prst="rect">
                    <a:avLst/>
                  </a:prstGeom>
                  <a:ln w="12700" cap="flat">
                    <a:noFill/>
                    <a:miter lim="400000"/>
                  </a:ln>
                  <a:effec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F4"/>
    <w:rsid w:val="0002276F"/>
    <w:rsid w:val="000A2479"/>
    <w:rsid w:val="002A0946"/>
    <w:rsid w:val="002C02F8"/>
    <w:rsid w:val="003C5B26"/>
    <w:rsid w:val="004B1EBB"/>
    <w:rsid w:val="004C0068"/>
    <w:rsid w:val="00846FFB"/>
    <w:rsid w:val="008D68AF"/>
    <w:rsid w:val="00936F06"/>
    <w:rsid w:val="00B927AB"/>
    <w:rsid w:val="00E510EA"/>
    <w:rsid w:val="00ED752B"/>
    <w:rsid w:val="00F9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2BAD"/>
  <w15:docId w15:val="{E7DBC8A3-F256-4084-90AD-A71EA1D3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PCAFooter">
    <w:name w:val="EPCA_Footer"/>
    <w:pPr>
      <w:spacing w:line="220" w:lineRule="exact"/>
    </w:pPr>
    <w:rPr>
      <w:rFonts w:ascii="Arial" w:hAnsi="Arial" w:cs="Arial Unicode MS"/>
      <w:color w:val="000000"/>
      <w:sz w:val="18"/>
      <w:szCs w:val="18"/>
      <w:u w:color="000000"/>
      <w:lang w:val="en-US"/>
    </w:rPr>
  </w:style>
  <w:style w:type="character" w:customStyle="1" w:styleId="Aucune">
    <w:name w:val="Aucune"/>
    <w:rPr>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EPCATitle">
    <w:name w:val="EPCA_Title"/>
    <w:pPr>
      <w:spacing w:after="200" w:line="440" w:lineRule="exact"/>
    </w:pPr>
    <w:rPr>
      <w:rFonts w:ascii="Arial" w:eastAsia="Arial" w:hAnsi="Arial" w:cs="Arial"/>
      <w:b/>
      <w:bCs/>
      <w:color w:val="4A4A4A"/>
      <w:sz w:val="36"/>
      <w:szCs w:val="36"/>
      <w:u w:color="4A4A4A"/>
      <w:lang w:val="en-US"/>
    </w:rPr>
  </w:style>
  <w:style w:type="paragraph" w:customStyle="1" w:styleId="EPCASubtitle">
    <w:name w:val="EPCA_Subtitle"/>
    <w:pPr>
      <w:pBdr>
        <w:bottom w:val="single" w:sz="8" w:space="0" w:color="AEAEAE"/>
      </w:pBdr>
      <w:spacing w:after="240" w:line="320" w:lineRule="exact"/>
    </w:pPr>
    <w:rPr>
      <w:rFonts w:ascii="Arial" w:eastAsia="Arial" w:hAnsi="Arial" w:cs="Arial"/>
      <w:color w:val="009DDC"/>
      <w:sz w:val="36"/>
      <w:szCs w:val="36"/>
      <w:u w:color="009DDC"/>
      <w:lang w:val="en-US"/>
    </w:rPr>
  </w:style>
  <w:style w:type="paragraph" w:customStyle="1" w:styleId="EPCABodyText">
    <w:name w:val="EPCA_Body Text"/>
    <w:pPr>
      <w:spacing w:after="240" w:line="240" w:lineRule="exact"/>
    </w:pPr>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oplifeeurope.eu/webinars/rea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croplifeeurope.eu/pre-market-resources/reach-in-registration-evaluation-authorisation-and-restriction-of-chemicals/" TargetMode="External"/><Relationship Id="rId11" Type="http://schemas.openxmlformats.org/officeDocument/2006/relationships/hyperlink" Target="https://echa.europa.eu/csr-es-roadmap/use-maps/use-maps-library"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roplifeeurope.eu/pre-market-resources/reach-in-registration-evaluation-authorisation-and-restriction-of-chemical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roplifeeurope.eu/pre-market-resources/reach-in-registration-evaluation-authorisation-and-restriction-of-chemical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Giles</dc:creator>
  <cp:lastModifiedBy>Kevin Heylen</cp:lastModifiedBy>
  <cp:revision>2</cp:revision>
  <dcterms:created xsi:type="dcterms:W3CDTF">2021-12-14T12:38:00Z</dcterms:created>
  <dcterms:modified xsi:type="dcterms:W3CDTF">2021-12-14T12:38:00Z</dcterms:modified>
</cp:coreProperties>
</file>